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509F9" w14:textId="77777777" w:rsidR="006F3962" w:rsidRDefault="006F3962" w:rsidP="005D5D18">
      <w:pPr>
        <w:rPr>
          <w:b/>
        </w:rPr>
      </w:pPr>
    </w:p>
    <w:p w14:paraId="64E00E22" w14:textId="4CC22C94" w:rsidR="005D5D18" w:rsidRDefault="005D5D18" w:rsidP="005D5D18">
      <w:pPr>
        <w:rPr>
          <w:b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7A7C111" wp14:editId="69A6832A">
            <wp:simplePos x="0" y="0"/>
            <wp:positionH relativeFrom="column">
              <wp:posOffset>3472180</wp:posOffset>
            </wp:positionH>
            <wp:positionV relativeFrom="paragraph">
              <wp:posOffset>-494665</wp:posOffset>
            </wp:positionV>
            <wp:extent cx="2537460" cy="1222375"/>
            <wp:effectExtent l="0" t="0" r="0" b="0"/>
            <wp:wrapTight wrapText="bothSides">
              <wp:wrapPolygon edited="0">
                <wp:start x="0" y="0"/>
                <wp:lineTo x="0" y="21207"/>
                <wp:lineTo x="21405" y="21207"/>
                <wp:lineTo x="21405" y="0"/>
                <wp:lineTo x="0" y="0"/>
              </wp:wrapPolygon>
            </wp:wrapTight>
            <wp:docPr id="1" name="Picture 1" descr="BMet2016_MASTER_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Met2016_MASTER_STRA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B214C" w14:textId="77777777" w:rsidR="005D5D18" w:rsidRDefault="005D5D18" w:rsidP="005D5D18">
      <w:pPr>
        <w:rPr>
          <w:b/>
        </w:rPr>
      </w:pPr>
    </w:p>
    <w:p w14:paraId="2E890626" w14:textId="3C101F27" w:rsidR="00940E25" w:rsidRPr="005D5D18" w:rsidRDefault="00940E25" w:rsidP="005D5D18">
      <w:pPr>
        <w:rPr>
          <w:b/>
          <w:sz w:val="24"/>
        </w:rPr>
      </w:pPr>
      <w:r w:rsidRPr="005D5D18">
        <w:rPr>
          <w:b/>
          <w:sz w:val="24"/>
        </w:rPr>
        <w:t>Ethnicity Pay Gap Report 20</w:t>
      </w:r>
      <w:r w:rsidR="009D7AAB">
        <w:rPr>
          <w:b/>
          <w:sz w:val="24"/>
        </w:rPr>
        <w:t>2</w:t>
      </w:r>
      <w:r w:rsidR="0054619A">
        <w:rPr>
          <w:b/>
          <w:sz w:val="24"/>
        </w:rPr>
        <w:t>1</w:t>
      </w:r>
    </w:p>
    <w:p w14:paraId="59BDB9B8" w14:textId="77777777" w:rsidR="00940E25" w:rsidRPr="00FC4FF6" w:rsidRDefault="00940E25" w:rsidP="00940E25">
      <w:pPr>
        <w:rPr>
          <w:b/>
        </w:rPr>
      </w:pPr>
      <w:r w:rsidRPr="00FC4FF6">
        <w:rPr>
          <w:b/>
          <w:bCs/>
        </w:rPr>
        <w:t>1. Introduction</w:t>
      </w:r>
    </w:p>
    <w:p w14:paraId="5E8AB77C" w14:textId="77777777" w:rsidR="00A607E6" w:rsidRPr="00A607E6" w:rsidRDefault="00940E25" w:rsidP="00A607E6">
      <w:pPr>
        <w:pStyle w:val="Pa1"/>
        <w:spacing w:after="100"/>
        <w:rPr>
          <w:rStyle w:val="A4"/>
          <w:rFonts w:asciiTheme="minorHAnsi" w:hAnsiTheme="minorHAnsi"/>
          <w:i/>
          <w:sz w:val="22"/>
          <w:szCs w:val="22"/>
        </w:rPr>
      </w:pPr>
      <w:r w:rsidRPr="00FC4FF6">
        <w:rPr>
          <w:rFonts w:asciiTheme="minorHAnsi" w:hAnsiTheme="minorHAnsi"/>
          <w:sz w:val="22"/>
          <w:szCs w:val="22"/>
        </w:rPr>
        <w:t xml:space="preserve">BMet is committed to </w:t>
      </w:r>
      <w:proofErr w:type="gramStart"/>
      <w:r w:rsidRPr="00FC4FF6">
        <w:rPr>
          <w:rFonts w:asciiTheme="minorHAnsi" w:hAnsiTheme="minorHAnsi"/>
          <w:sz w:val="22"/>
          <w:szCs w:val="22"/>
        </w:rPr>
        <w:t>being</w:t>
      </w:r>
      <w:proofErr w:type="gramEnd"/>
      <w:r w:rsidRPr="00FC4FF6">
        <w:rPr>
          <w:rFonts w:asciiTheme="minorHAnsi" w:hAnsiTheme="minorHAnsi"/>
          <w:sz w:val="22"/>
          <w:szCs w:val="22"/>
        </w:rPr>
        <w:t xml:space="preserve"> a truly diverse and inclusive organisation </w:t>
      </w:r>
      <w:r w:rsidR="00A607E6">
        <w:rPr>
          <w:rFonts w:asciiTheme="minorHAnsi" w:hAnsiTheme="minorHAnsi"/>
          <w:sz w:val="22"/>
          <w:szCs w:val="22"/>
        </w:rPr>
        <w:t xml:space="preserve">which includes recruiting, retaining and advancing a diverse workforce. </w:t>
      </w:r>
      <w:r w:rsidR="00A607E6">
        <w:rPr>
          <w:rStyle w:val="A4"/>
          <w:rFonts w:asciiTheme="minorHAnsi" w:hAnsiTheme="minorHAnsi"/>
          <w:i/>
          <w:sz w:val="22"/>
          <w:szCs w:val="22"/>
        </w:rPr>
        <w:t xml:space="preserve"> </w:t>
      </w:r>
    </w:p>
    <w:p w14:paraId="0AAE029E" w14:textId="77777777" w:rsidR="0091139F" w:rsidRPr="00457CEC" w:rsidRDefault="0091139F" w:rsidP="00940E25">
      <w:pPr>
        <w:pStyle w:val="Pa1"/>
        <w:spacing w:after="100"/>
        <w:rPr>
          <w:rStyle w:val="A4"/>
          <w:rFonts w:asciiTheme="minorHAnsi" w:hAnsiTheme="minorHAnsi"/>
          <w:sz w:val="22"/>
          <w:szCs w:val="22"/>
        </w:rPr>
      </w:pPr>
      <w:r w:rsidRPr="0091139F">
        <w:rPr>
          <w:rStyle w:val="A4"/>
          <w:rFonts w:asciiTheme="minorHAnsi" w:hAnsiTheme="minorHAnsi"/>
          <w:sz w:val="22"/>
          <w:szCs w:val="22"/>
        </w:rPr>
        <w:t xml:space="preserve">Unlike </w:t>
      </w:r>
      <w:r w:rsidR="00B60DE3">
        <w:rPr>
          <w:rStyle w:val="A4"/>
          <w:rFonts w:asciiTheme="minorHAnsi" w:hAnsiTheme="minorHAnsi"/>
          <w:sz w:val="22"/>
          <w:szCs w:val="22"/>
        </w:rPr>
        <w:t>g</w:t>
      </w:r>
      <w:r w:rsidRPr="0091139F">
        <w:rPr>
          <w:rStyle w:val="A4"/>
          <w:rFonts w:asciiTheme="minorHAnsi" w:hAnsiTheme="minorHAnsi"/>
          <w:sz w:val="22"/>
          <w:szCs w:val="22"/>
        </w:rPr>
        <w:t>ender pay gap legislation there is curre</w:t>
      </w:r>
      <w:r>
        <w:rPr>
          <w:rStyle w:val="A4"/>
          <w:rFonts w:asciiTheme="minorHAnsi" w:hAnsiTheme="minorHAnsi"/>
          <w:sz w:val="22"/>
          <w:szCs w:val="22"/>
        </w:rPr>
        <w:t xml:space="preserve">ntly no requirement for employers to publish </w:t>
      </w:r>
      <w:r w:rsidR="00AC44F3">
        <w:rPr>
          <w:rStyle w:val="A4"/>
          <w:rFonts w:asciiTheme="minorHAnsi" w:hAnsiTheme="minorHAnsi"/>
          <w:sz w:val="22"/>
          <w:szCs w:val="22"/>
        </w:rPr>
        <w:t xml:space="preserve">their </w:t>
      </w:r>
      <w:r>
        <w:rPr>
          <w:rStyle w:val="A4"/>
          <w:rFonts w:asciiTheme="minorHAnsi" w:hAnsiTheme="minorHAnsi"/>
          <w:sz w:val="22"/>
          <w:szCs w:val="22"/>
        </w:rPr>
        <w:t xml:space="preserve">ethnicity pay gap. </w:t>
      </w:r>
      <w:r w:rsidR="00AB3BDD">
        <w:rPr>
          <w:rStyle w:val="A4"/>
          <w:rFonts w:asciiTheme="minorHAnsi" w:hAnsiTheme="minorHAnsi"/>
          <w:sz w:val="22"/>
          <w:szCs w:val="22"/>
        </w:rPr>
        <w:t xml:space="preserve">We are </w:t>
      </w:r>
      <w:r>
        <w:rPr>
          <w:rStyle w:val="A4"/>
          <w:rFonts w:asciiTheme="minorHAnsi" w:hAnsiTheme="minorHAnsi"/>
          <w:sz w:val="22"/>
          <w:szCs w:val="22"/>
        </w:rPr>
        <w:t xml:space="preserve">keen </w:t>
      </w:r>
      <w:r w:rsidR="00457CEC">
        <w:rPr>
          <w:rStyle w:val="A4"/>
          <w:rFonts w:asciiTheme="minorHAnsi" w:hAnsiTheme="minorHAnsi"/>
          <w:sz w:val="22"/>
          <w:szCs w:val="22"/>
        </w:rPr>
        <w:t xml:space="preserve">however </w:t>
      </w:r>
      <w:r>
        <w:rPr>
          <w:rStyle w:val="A4"/>
          <w:rFonts w:asciiTheme="minorHAnsi" w:hAnsiTheme="minorHAnsi"/>
          <w:sz w:val="22"/>
          <w:szCs w:val="22"/>
        </w:rPr>
        <w:t>to use this equality measure to show the difference in average earnings between employees who are who are from a Black, Asian and Minority Ethnic background (BAME)</w:t>
      </w:r>
      <w:r w:rsidR="00B60DE3">
        <w:rPr>
          <w:rStyle w:val="A4"/>
          <w:rFonts w:asciiTheme="minorHAnsi" w:hAnsiTheme="minorHAnsi"/>
          <w:sz w:val="22"/>
          <w:szCs w:val="22"/>
        </w:rPr>
        <w:t xml:space="preserve"> and those who are </w:t>
      </w:r>
      <w:r w:rsidR="009D7AAB">
        <w:rPr>
          <w:rStyle w:val="A4"/>
          <w:rFonts w:asciiTheme="minorHAnsi" w:hAnsiTheme="minorHAnsi"/>
          <w:sz w:val="22"/>
          <w:szCs w:val="22"/>
        </w:rPr>
        <w:t>from a white background</w:t>
      </w:r>
      <w:r>
        <w:rPr>
          <w:rStyle w:val="A4"/>
          <w:rFonts w:asciiTheme="minorHAnsi" w:hAnsiTheme="minorHAnsi"/>
          <w:sz w:val="22"/>
          <w:szCs w:val="22"/>
        </w:rPr>
        <w:t xml:space="preserve">. </w:t>
      </w:r>
      <w:r w:rsidR="00457CEC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50A71075" w14:textId="77777777" w:rsidR="00B60DE3" w:rsidRDefault="00B60DE3" w:rsidP="00940E25">
      <w:pPr>
        <w:pStyle w:val="Pa1"/>
        <w:spacing w:after="100"/>
        <w:ind w:left="500" w:hanging="500"/>
        <w:rPr>
          <w:rStyle w:val="A4"/>
          <w:rFonts w:asciiTheme="minorHAnsi" w:hAnsiTheme="minorHAnsi"/>
          <w:sz w:val="22"/>
          <w:szCs w:val="22"/>
        </w:rPr>
      </w:pPr>
    </w:p>
    <w:p w14:paraId="342F4706" w14:textId="77777777" w:rsidR="00B60DE3" w:rsidRPr="00B60DE3" w:rsidRDefault="00B60DE3" w:rsidP="00940E25">
      <w:pPr>
        <w:pStyle w:val="Pa1"/>
        <w:spacing w:after="100"/>
        <w:ind w:left="500" w:hanging="500"/>
        <w:rPr>
          <w:rStyle w:val="A4"/>
          <w:rFonts w:asciiTheme="minorHAnsi" w:hAnsiTheme="minorHAnsi"/>
          <w:b/>
          <w:sz w:val="22"/>
          <w:szCs w:val="22"/>
        </w:rPr>
      </w:pPr>
      <w:r w:rsidRPr="00B60DE3">
        <w:rPr>
          <w:rStyle w:val="A4"/>
          <w:rFonts w:asciiTheme="minorHAnsi" w:hAnsiTheme="minorHAnsi"/>
          <w:b/>
          <w:sz w:val="22"/>
          <w:szCs w:val="22"/>
        </w:rPr>
        <w:t>2. Pay gap reporting explained</w:t>
      </w:r>
    </w:p>
    <w:p w14:paraId="14C487F3" w14:textId="77777777" w:rsidR="00B60DE3" w:rsidRPr="00B60DE3" w:rsidRDefault="00B60DE3" w:rsidP="00B60DE3">
      <w:pPr>
        <w:pStyle w:val="Default"/>
        <w:rPr>
          <w:rFonts w:asciiTheme="minorHAnsi" w:hAnsiTheme="minorHAnsi"/>
          <w:sz w:val="22"/>
          <w:szCs w:val="22"/>
        </w:rPr>
      </w:pPr>
    </w:p>
    <w:p w14:paraId="52A035CA" w14:textId="77777777" w:rsidR="00B60DE3" w:rsidRDefault="00B60DE3" w:rsidP="00B60DE3">
      <w:pPr>
        <w:pStyle w:val="Default"/>
        <w:rPr>
          <w:rFonts w:asciiTheme="minorHAnsi" w:hAnsiTheme="minorHAnsi"/>
          <w:sz w:val="22"/>
          <w:szCs w:val="22"/>
        </w:rPr>
      </w:pPr>
      <w:r w:rsidRPr="00B60DE3">
        <w:rPr>
          <w:rFonts w:asciiTheme="minorHAnsi" w:hAnsiTheme="minorHAnsi"/>
          <w:sz w:val="22"/>
          <w:szCs w:val="22"/>
        </w:rPr>
        <w:t xml:space="preserve">The ethnicity pay gap shows the difference in the average hourly rate of pay between </w:t>
      </w:r>
      <w:r w:rsidR="009D7AAB">
        <w:rPr>
          <w:rStyle w:val="A4"/>
          <w:rFonts w:asciiTheme="minorHAnsi" w:hAnsiTheme="minorHAnsi"/>
          <w:sz w:val="22"/>
          <w:szCs w:val="22"/>
        </w:rPr>
        <w:t xml:space="preserve">Black, Asian and Minority Ethnic </w:t>
      </w:r>
      <w:r w:rsidRPr="00B60DE3">
        <w:rPr>
          <w:rFonts w:asciiTheme="minorHAnsi" w:hAnsiTheme="minorHAnsi"/>
          <w:sz w:val="22"/>
          <w:szCs w:val="22"/>
        </w:rPr>
        <w:t xml:space="preserve">and </w:t>
      </w:r>
      <w:r w:rsidR="009D7AAB">
        <w:rPr>
          <w:rFonts w:asciiTheme="minorHAnsi" w:hAnsiTheme="minorHAnsi"/>
          <w:sz w:val="22"/>
          <w:szCs w:val="22"/>
        </w:rPr>
        <w:t>white</w:t>
      </w:r>
      <w:r w:rsidRPr="00B60DE3">
        <w:rPr>
          <w:rFonts w:asciiTheme="minorHAnsi" w:hAnsiTheme="minorHAnsi"/>
          <w:sz w:val="22"/>
          <w:szCs w:val="22"/>
        </w:rPr>
        <w:t xml:space="preserve"> individuals in an organisation, expressed as a percentage of the average </w:t>
      </w:r>
      <w:r w:rsidR="009D7AAB">
        <w:rPr>
          <w:rFonts w:asciiTheme="minorHAnsi" w:hAnsiTheme="minorHAnsi"/>
          <w:sz w:val="22"/>
          <w:szCs w:val="22"/>
        </w:rPr>
        <w:t>white</w:t>
      </w:r>
      <w:r w:rsidRPr="00B60DE3">
        <w:rPr>
          <w:rFonts w:asciiTheme="minorHAnsi" w:hAnsiTheme="minorHAnsi"/>
          <w:sz w:val="22"/>
          <w:szCs w:val="22"/>
        </w:rPr>
        <w:t xml:space="preserve"> earnings. </w:t>
      </w:r>
    </w:p>
    <w:p w14:paraId="673C6F48" w14:textId="77777777" w:rsidR="00BD7428" w:rsidRPr="00B60DE3" w:rsidRDefault="00BD7428" w:rsidP="00B60DE3">
      <w:pPr>
        <w:pStyle w:val="Default"/>
        <w:rPr>
          <w:rFonts w:asciiTheme="minorHAnsi" w:hAnsiTheme="minorHAnsi"/>
          <w:sz w:val="22"/>
          <w:szCs w:val="22"/>
        </w:rPr>
      </w:pPr>
    </w:p>
    <w:p w14:paraId="14860263" w14:textId="331AEE6D" w:rsidR="00B60DE3" w:rsidRPr="00B60DE3" w:rsidRDefault="00B60DE3" w:rsidP="00B60DE3">
      <w:pPr>
        <w:pStyle w:val="Default"/>
        <w:rPr>
          <w:rFonts w:asciiTheme="minorHAnsi" w:hAnsiTheme="minorHAnsi"/>
          <w:sz w:val="22"/>
          <w:szCs w:val="22"/>
        </w:rPr>
      </w:pPr>
      <w:r w:rsidRPr="00B60DE3">
        <w:rPr>
          <w:rStyle w:val="A4"/>
          <w:rFonts w:asciiTheme="minorHAnsi" w:hAnsiTheme="minorHAnsi"/>
          <w:sz w:val="22"/>
          <w:szCs w:val="22"/>
        </w:rPr>
        <w:t>We</w:t>
      </w:r>
      <w:r w:rsidRPr="00B60DE3">
        <w:rPr>
          <w:rFonts w:asciiTheme="minorHAnsi" w:hAnsiTheme="minorHAnsi"/>
          <w:sz w:val="22"/>
          <w:szCs w:val="22"/>
        </w:rPr>
        <w:t xml:space="preserve"> have followed the statutory gender pay gap reporting methodology when calculating our </w:t>
      </w:r>
      <w:r w:rsidR="00AC44F3">
        <w:rPr>
          <w:rFonts w:asciiTheme="minorHAnsi" w:hAnsiTheme="minorHAnsi"/>
          <w:sz w:val="22"/>
          <w:szCs w:val="22"/>
        </w:rPr>
        <w:t xml:space="preserve">ethnicity pay </w:t>
      </w:r>
      <w:r w:rsidRPr="00B60DE3">
        <w:rPr>
          <w:rFonts w:asciiTheme="minorHAnsi" w:hAnsiTheme="minorHAnsi"/>
          <w:sz w:val="22"/>
          <w:szCs w:val="22"/>
        </w:rPr>
        <w:t>gap to provide</w:t>
      </w:r>
      <w:r w:rsidR="00AB3BDD">
        <w:rPr>
          <w:rFonts w:asciiTheme="minorHAnsi" w:hAnsiTheme="minorHAnsi"/>
          <w:sz w:val="22"/>
          <w:szCs w:val="22"/>
        </w:rPr>
        <w:t xml:space="preserve"> a mean and median calculation </w:t>
      </w:r>
      <w:r w:rsidRPr="00B60DE3">
        <w:rPr>
          <w:rFonts w:asciiTheme="minorHAnsi" w:hAnsiTheme="minorHAnsi"/>
          <w:sz w:val="22"/>
          <w:szCs w:val="22"/>
        </w:rPr>
        <w:t xml:space="preserve">and distribution across pay quartiles. </w:t>
      </w:r>
      <w:r>
        <w:rPr>
          <w:rFonts w:asciiTheme="minorHAnsi" w:hAnsiTheme="minorHAnsi"/>
          <w:sz w:val="22"/>
          <w:szCs w:val="22"/>
        </w:rPr>
        <w:t xml:space="preserve"> </w:t>
      </w:r>
      <w:r w:rsidR="00AB3BDD">
        <w:rPr>
          <w:rFonts w:asciiTheme="minorHAnsi" w:hAnsiTheme="minorHAnsi"/>
          <w:sz w:val="22"/>
          <w:szCs w:val="22"/>
        </w:rPr>
        <w:t>U</w:t>
      </w:r>
      <w:r w:rsidRPr="00B60DE3">
        <w:rPr>
          <w:rFonts w:asciiTheme="minorHAnsi" w:hAnsiTheme="minorHAnsi"/>
          <w:sz w:val="22"/>
          <w:szCs w:val="22"/>
        </w:rPr>
        <w:t xml:space="preserve">nlike gender, our ethnicity disclosure rate is not at 100% (currently </w:t>
      </w:r>
      <w:r w:rsidRPr="00B33DBC">
        <w:rPr>
          <w:rFonts w:asciiTheme="minorHAnsi" w:hAnsiTheme="minorHAnsi"/>
          <w:sz w:val="22"/>
          <w:szCs w:val="22"/>
        </w:rPr>
        <w:t xml:space="preserve">it stands at </w:t>
      </w:r>
      <w:r w:rsidR="00B33DBC" w:rsidRPr="00B33DBC">
        <w:rPr>
          <w:rFonts w:asciiTheme="minorHAnsi" w:hAnsiTheme="minorHAnsi"/>
          <w:sz w:val="22"/>
          <w:szCs w:val="22"/>
        </w:rPr>
        <w:t>78</w:t>
      </w:r>
      <w:r w:rsidRPr="00B60DE3">
        <w:rPr>
          <w:rFonts w:asciiTheme="minorHAnsi" w:hAnsiTheme="minorHAnsi"/>
          <w:sz w:val="22"/>
          <w:szCs w:val="22"/>
        </w:rPr>
        <w:t>%)</w:t>
      </w:r>
      <w:r w:rsidR="00AB3BDD">
        <w:rPr>
          <w:rFonts w:asciiTheme="minorHAnsi" w:hAnsiTheme="minorHAnsi"/>
          <w:sz w:val="22"/>
          <w:szCs w:val="22"/>
        </w:rPr>
        <w:t xml:space="preserve"> which </w:t>
      </w:r>
      <w:r>
        <w:rPr>
          <w:rFonts w:asciiTheme="minorHAnsi" w:hAnsiTheme="minorHAnsi"/>
          <w:sz w:val="22"/>
          <w:szCs w:val="22"/>
        </w:rPr>
        <w:t xml:space="preserve">means that </w:t>
      </w:r>
      <w:r w:rsidRPr="00B60DE3">
        <w:rPr>
          <w:rFonts w:asciiTheme="minorHAnsi" w:hAnsiTheme="minorHAnsi"/>
          <w:sz w:val="22"/>
          <w:szCs w:val="22"/>
        </w:rPr>
        <w:t>any individuals with undisclosed ethnicities are excluded from our calculations.</w:t>
      </w:r>
    </w:p>
    <w:p w14:paraId="741652A6" w14:textId="77777777" w:rsidR="00B60DE3" w:rsidRPr="00B60DE3" w:rsidRDefault="00B60DE3" w:rsidP="00940E25">
      <w:pPr>
        <w:pStyle w:val="Pa1"/>
        <w:spacing w:after="100"/>
        <w:ind w:left="500" w:hanging="500"/>
        <w:rPr>
          <w:rStyle w:val="A4"/>
          <w:rFonts w:asciiTheme="minorHAnsi" w:hAnsiTheme="minorHAnsi"/>
          <w:sz w:val="22"/>
          <w:szCs w:val="22"/>
        </w:rPr>
      </w:pPr>
    </w:p>
    <w:p w14:paraId="176D9D79" w14:textId="77777777" w:rsidR="00940E25" w:rsidRPr="00B60DE3" w:rsidRDefault="0091139F" w:rsidP="00940E25">
      <w:pPr>
        <w:pStyle w:val="Pa1"/>
        <w:spacing w:after="100"/>
        <w:ind w:left="500" w:hanging="500"/>
        <w:rPr>
          <w:rFonts w:asciiTheme="minorHAnsi" w:hAnsiTheme="minorHAnsi"/>
          <w:color w:val="211D1E"/>
          <w:sz w:val="22"/>
          <w:szCs w:val="22"/>
        </w:rPr>
      </w:pPr>
      <w:r w:rsidRPr="00B60DE3">
        <w:rPr>
          <w:rStyle w:val="A4"/>
          <w:rFonts w:asciiTheme="minorHAnsi" w:hAnsiTheme="minorHAnsi"/>
          <w:sz w:val="22"/>
          <w:szCs w:val="22"/>
        </w:rPr>
        <w:t xml:space="preserve">This ethnicity </w:t>
      </w:r>
      <w:r w:rsidR="00940E25" w:rsidRPr="00B60DE3">
        <w:rPr>
          <w:rStyle w:val="A4"/>
          <w:rFonts w:asciiTheme="minorHAnsi" w:hAnsiTheme="minorHAnsi"/>
          <w:sz w:val="22"/>
          <w:szCs w:val="22"/>
        </w:rPr>
        <w:t>pay gap report include</w:t>
      </w:r>
      <w:r w:rsidRPr="00B60DE3">
        <w:rPr>
          <w:rStyle w:val="A4"/>
          <w:rFonts w:asciiTheme="minorHAnsi" w:hAnsiTheme="minorHAnsi"/>
          <w:sz w:val="22"/>
          <w:szCs w:val="22"/>
        </w:rPr>
        <w:t>s</w:t>
      </w:r>
      <w:r w:rsidR="00940E25" w:rsidRPr="00B60DE3">
        <w:rPr>
          <w:rStyle w:val="A4"/>
          <w:rFonts w:asciiTheme="minorHAnsi" w:hAnsiTheme="minorHAnsi"/>
          <w:sz w:val="22"/>
          <w:szCs w:val="22"/>
        </w:rPr>
        <w:t xml:space="preserve">: </w:t>
      </w:r>
    </w:p>
    <w:p w14:paraId="633EE579" w14:textId="77777777" w:rsidR="00940E25" w:rsidRPr="00B60DE3" w:rsidRDefault="00940E25" w:rsidP="00AC44F3">
      <w:pPr>
        <w:pStyle w:val="Pa2"/>
        <w:numPr>
          <w:ilvl w:val="0"/>
          <w:numId w:val="13"/>
        </w:numPr>
        <w:tabs>
          <w:tab w:val="left" w:pos="2517"/>
        </w:tabs>
        <w:rPr>
          <w:rFonts w:asciiTheme="minorHAnsi" w:hAnsiTheme="minorHAnsi" w:cs="KFEYB M+ News Gothic BT"/>
          <w:color w:val="211D1E"/>
          <w:sz w:val="22"/>
          <w:szCs w:val="22"/>
        </w:rPr>
      </w:pPr>
      <w:r w:rsidRPr="00B60DE3">
        <w:rPr>
          <w:rStyle w:val="A4"/>
          <w:rFonts w:asciiTheme="minorHAnsi" w:hAnsiTheme="minorHAnsi"/>
          <w:sz w:val="22"/>
          <w:szCs w:val="22"/>
        </w:rPr>
        <w:t>the mean</w:t>
      </w:r>
      <w:r w:rsidRPr="00B60DE3">
        <w:rPr>
          <w:rStyle w:val="A6"/>
          <w:rFonts w:asciiTheme="minorHAnsi" w:hAnsiTheme="minorHAnsi"/>
          <w:sz w:val="22"/>
          <w:szCs w:val="22"/>
        </w:rPr>
        <w:t xml:space="preserve"> </w:t>
      </w:r>
      <w:r w:rsidRPr="00B60DE3">
        <w:rPr>
          <w:rStyle w:val="A4"/>
          <w:rFonts w:asciiTheme="minorHAnsi" w:hAnsiTheme="minorHAnsi"/>
          <w:sz w:val="22"/>
          <w:szCs w:val="22"/>
        </w:rPr>
        <w:t xml:space="preserve">gap in pay </w:t>
      </w:r>
      <w:r w:rsidRPr="00B60DE3">
        <w:rPr>
          <w:rStyle w:val="A6"/>
          <w:rFonts w:asciiTheme="minorHAnsi" w:hAnsiTheme="minorHAnsi"/>
          <w:sz w:val="22"/>
          <w:szCs w:val="22"/>
          <w:vertAlign w:val="superscript"/>
        </w:rPr>
        <w:t>1</w:t>
      </w:r>
    </w:p>
    <w:p w14:paraId="7EF64DD6" w14:textId="77777777" w:rsidR="00940E25" w:rsidRPr="00B60DE3" w:rsidRDefault="00940E25" w:rsidP="00AC44F3">
      <w:pPr>
        <w:pStyle w:val="Pa2"/>
        <w:numPr>
          <w:ilvl w:val="0"/>
          <w:numId w:val="13"/>
        </w:numPr>
        <w:rPr>
          <w:rFonts w:asciiTheme="minorHAnsi" w:hAnsiTheme="minorHAnsi" w:cs="KFEYB M+ News Gothic BT"/>
          <w:color w:val="211D1E"/>
          <w:sz w:val="22"/>
          <w:szCs w:val="22"/>
          <w:vertAlign w:val="superscript"/>
        </w:rPr>
      </w:pPr>
      <w:r w:rsidRPr="00B60DE3">
        <w:rPr>
          <w:rStyle w:val="A4"/>
          <w:rFonts w:asciiTheme="minorHAnsi" w:hAnsiTheme="minorHAnsi"/>
          <w:sz w:val="22"/>
          <w:szCs w:val="22"/>
        </w:rPr>
        <w:t>the median</w:t>
      </w:r>
      <w:r w:rsidRPr="00B60DE3">
        <w:rPr>
          <w:rStyle w:val="A6"/>
          <w:rFonts w:asciiTheme="minorHAnsi" w:hAnsiTheme="minorHAnsi"/>
          <w:sz w:val="22"/>
          <w:szCs w:val="22"/>
        </w:rPr>
        <w:t xml:space="preserve"> </w:t>
      </w:r>
      <w:r w:rsidRPr="00B60DE3">
        <w:rPr>
          <w:rStyle w:val="A4"/>
          <w:rFonts w:asciiTheme="minorHAnsi" w:hAnsiTheme="minorHAnsi"/>
          <w:sz w:val="22"/>
          <w:szCs w:val="22"/>
        </w:rPr>
        <w:t xml:space="preserve">gap in pay </w:t>
      </w:r>
      <w:r w:rsidRPr="00B60DE3">
        <w:rPr>
          <w:rStyle w:val="A6"/>
          <w:rFonts w:asciiTheme="minorHAnsi" w:hAnsiTheme="minorHAnsi"/>
          <w:sz w:val="22"/>
          <w:szCs w:val="22"/>
          <w:vertAlign w:val="superscript"/>
        </w:rPr>
        <w:t>2</w:t>
      </w:r>
    </w:p>
    <w:p w14:paraId="4A1506C0" w14:textId="77777777" w:rsidR="00940E25" w:rsidRPr="00B60DE3" w:rsidRDefault="00940E25" w:rsidP="00AC44F3">
      <w:pPr>
        <w:pStyle w:val="Pa2"/>
        <w:numPr>
          <w:ilvl w:val="0"/>
          <w:numId w:val="13"/>
        </w:numPr>
        <w:rPr>
          <w:rFonts w:asciiTheme="minorHAnsi" w:hAnsiTheme="minorHAnsi" w:cs="KFEYB M+ News Gothic BT"/>
          <w:color w:val="211D1E"/>
          <w:sz w:val="22"/>
          <w:szCs w:val="22"/>
        </w:rPr>
      </w:pPr>
      <w:r w:rsidRPr="00B60DE3">
        <w:rPr>
          <w:rStyle w:val="A4"/>
          <w:rFonts w:asciiTheme="minorHAnsi" w:hAnsiTheme="minorHAnsi"/>
          <w:sz w:val="22"/>
          <w:szCs w:val="22"/>
        </w:rPr>
        <w:t xml:space="preserve">the distribution of </w:t>
      </w:r>
      <w:r w:rsidR="0091139F" w:rsidRPr="00B60DE3">
        <w:rPr>
          <w:rStyle w:val="A4"/>
          <w:rFonts w:asciiTheme="minorHAnsi" w:hAnsiTheme="minorHAnsi"/>
          <w:sz w:val="22"/>
          <w:szCs w:val="22"/>
        </w:rPr>
        <w:t>ethnic groups</w:t>
      </w:r>
      <w:r w:rsidRPr="00B60DE3">
        <w:rPr>
          <w:rStyle w:val="A4"/>
          <w:rFonts w:asciiTheme="minorHAnsi" w:hAnsiTheme="minorHAnsi"/>
          <w:sz w:val="22"/>
          <w:szCs w:val="22"/>
        </w:rPr>
        <w:t xml:space="preserve"> by pay quartile</w:t>
      </w:r>
      <w:r w:rsidRPr="00B60DE3">
        <w:rPr>
          <w:rStyle w:val="A6"/>
          <w:rFonts w:asciiTheme="minorHAnsi" w:hAnsiTheme="minorHAnsi"/>
          <w:sz w:val="22"/>
          <w:szCs w:val="22"/>
          <w:vertAlign w:val="superscript"/>
        </w:rPr>
        <w:t>3</w:t>
      </w:r>
      <w:r w:rsidRPr="00B60DE3">
        <w:rPr>
          <w:rStyle w:val="A6"/>
          <w:rFonts w:asciiTheme="minorHAnsi" w:hAnsiTheme="minorHAnsi"/>
          <w:sz w:val="22"/>
          <w:szCs w:val="22"/>
        </w:rPr>
        <w:t xml:space="preserve"> </w:t>
      </w:r>
    </w:p>
    <w:p w14:paraId="23B0BEE8" w14:textId="77777777" w:rsidR="00A776AF" w:rsidRPr="00A776AF" w:rsidRDefault="00A776AF" w:rsidP="00A776AF">
      <w:pPr>
        <w:autoSpaceDE w:val="0"/>
        <w:autoSpaceDN w:val="0"/>
        <w:adjustRightInd w:val="0"/>
        <w:spacing w:after="0" w:line="241" w:lineRule="atLeast"/>
        <w:rPr>
          <w:rFonts w:cs="KFEYB M+ News Gothic BT"/>
          <w:color w:val="000000" w:themeColor="text1"/>
        </w:rPr>
      </w:pPr>
    </w:p>
    <w:p w14:paraId="4E9884E0" w14:textId="77777777" w:rsidR="00B60DE3" w:rsidRDefault="00B60DE3" w:rsidP="00B60DE3">
      <w:pPr>
        <w:pStyle w:val="Default"/>
        <w:rPr>
          <w:rStyle w:val="A17"/>
          <w:rFonts w:asciiTheme="minorHAnsi" w:hAnsiTheme="minorHAnsi"/>
          <w:sz w:val="22"/>
          <w:szCs w:val="22"/>
        </w:rPr>
      </w:pPr>
      <w:r w:rsidRPr="00A776AF">
        <w:rPr>
          <w:rFonts w:asciiTheme="minorHAnsi" w:hAnsiTheme="minorHAnsi"/>
          <w:color w:val="000000" w:themeColor="text1"/>
          <w:sz w:val="22"/>
          <w:szCs w:val="22"/>
        </w:rPr>
        <w:t xml:space="preserve">It is important to note that </w:t>
      </w:r>
      <w:r w:rsidRPr="00A776AF">
        <w:rPr>
          <w:rStyle w:val="A17"/>
          <w:rFonts w:asciiTheme="minorHAnsi" w:hAnsiTheme="minorHAnsi"/>
          <w:color w:val="000000" w:themeColor="text1"/>
          <w:sz w:val="22"/>
          <w:szCs w:val="22"/>
        </w:rPr>
        <w:t xml:space="preserve">ethnicity pay gap </w:t>
      </w:r>
      <w:r w:rsidRPr="00A776AF">
        <w:rPr>
          <w:rFonts w:asciiTheme="minorHAnsi" w:hAnsiTheme="minorHAnsi"/>
          <w:color w:val="000000" w:themeColor="text1"/>
          <w:sz w:val="22"/>
          <w:szCs w:val="22"/>
        </w:rPr>
        <w:t>is different to the issue of equal pay</w:t>
      </w:r>
      <w:r w:rsidR="00613E53" w:rsidRPr="00A776AF">
        <w:rPr>
          <w:rFonts w:asciiTheme="minorHAnsi" w:hAnsiTheme="minorHAnsi"/>
          <w:color w:val="000000" w:themeColor="text1"/>
          <w:sz w:val="22"/>
          <w:szCs w:val="22"/>
        </w:rPr>
        <w:t xml:space="preserve"> which is governed by the Equality Act</w:t>
      </w:r>
      <w:r w:rsidR="00AB3BDD" w:rsidRPr="00A776AF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Pr="00A776AF">
        <w:rPr>
          <w:rFonts w:asciiTheme="minorHAnsi" w:hAnsiTheme="minorHAnsi"/>
          <w:color w:val="000000" w:themeColor="text1"/>
          <w:sz w:val="22"/>
          <w:szCs w:val="22"/>
        </w:rPr>
        <w:t>namely the legal requirement to pay two individuals the same for equal work</w:t>
      </w:r>
      <w:r w:rsidR="00613E53" w:rsidRPr="00A776AF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Pr="00A776A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A776AF">
        <w:rPr>
          <w:rStyle w:val="A17"/>
          <w:rFonts w:asciiTheme="minorHAnsi" w:hAnsiTheme="minorHAnsi"/>
          <w:color w:val="000000" w:themeColor="text1"/>
          <w:sz w:val="22"/>
          <w:szCs w:val="22"/>
        </w:rPr>
        <w:t>The ethnicity pay gap is the difference between the gross hourly earnings for individuals across an organisation, irrespective of the roles they undertak</w:t>
      </w:r>
      <w:r w:rsidRPr="00B60DE3">
        <w:rPr>
          <w:rStyle w:val="A17"/>
          <w:rFonts w:asciiTheme="minorHAnsi" w:hAnsiTheme="minorHAnsi"/>
          <w:sz w:val="22"/>
          <w:szCs w:val="22"/>
        </w:rPr>
        <w:t>e.</w:t>
      </w:r>
    </w:p>
    <w:p w14:paraId="4C2E60DD" w14:textId="77777777" w:rsidR="00AB3BDD" w:rsidRDefault="00B60DE3" w:rsidP="008F1F4C">
      <w:pPr>
        <w:pStyle w:val="Default"/>
        <w:rPr>
          <w:rStyle w:val="A17"/>
          <w:color w:val="000000"/>
          <w:sz w:val="24"/>
          <w:szCs w:val="24"/>
        </w:rPr>
      </w:pPr>
      <w:r w:rsidRPr="00B60DE3">
        <w:rPr>
          <w:rStyle w:val="A17"/>
          <w:color w:val="000000"/>
          <w:sz w:val="24"/>
          <w:szCs w:val="24"/>
        </w:rPr>
        <w:t xml:space="preserve"> </w:t>
      </w:r>
    </w:p>
    <w:p w14:paraId="2A46CFCF" w14:textId="77777777" w:rsidR="008F1F4C" w:rsidRDefault="008F1F4C" w:rsidP="008F1F4C">
      <w:pPr>
        <w:pStyle w:val="Default"/>
        <w:rPr>
          <w:rStyle w:val="A6"/>
          <w:rFonts w:asciiTheme="minorHAnsi" w:hAnsiTheme="minorHAnsi"/>
          <w:color w:val="auto"/>
          <w:szCs w:val="22"/>
        </w:rPr>
      </w:pPr>
    </w:p>
    <w:p w14:paraId="799F03A6" w14:textId="77777777" w:rsidR="00AB3BDD" w:rsidRDefault="00AB3BDD" w:rsidP="00940E25">
      <w:pPr>
        <w:pStyle w:val="Pa1"/>
        <w:spacing w:after="100"/>
        <w:rPr>
          <w:rStyle w:val="A6"/>
          <w:rFonts w:asciiTheme="minorHAnsi" w:hAnsiTheme="minorHAnsi"/>
          <w:color w:val="auto"/>
          <w:szCs w:val="22"/>
        </w:rPr>
      </w:pPr>
    </w:p>
    <w:p w14:paraId="645BF422" w14:textId="77777777" w:rsidR="00AB3BDD" w:rsidRDefault="00AB3BDD" w:rsidP="00940E25">
      <w:pPr>
        <w:pStyle w:val="Pa1"/>
        <w:spacing w:after="100"/>
        <w:rPr>
          <w:rStyle w:val="A6"/>
          <w:rFonts w:asciiTheme="minorHAnsi" w:hAnsiTheme="minorHAnsi"/>
          <w:color w:val="auto"/>
          <w:szCs w:val="22"/>
        </w:rPr>
      </w:pPr>
    </w:p>
    <w:p w14:paraId="36B1ADDE" w14:textId="77777777" w:rsidR="00AB3BDD" w:rsidRDefault="00AB3BDD" w:rsidP="00AB3BDD">
      <w:pPr>
        <w:pStyle w:val="Pa1"/>
        <w:pBdr>
          <w:top w:val="single" w:sz="4" w:space="1" w:color="auto"/>
        </w:pBdr>
        <w:spacing w:after="100"/>
        <w:rPr>
          <w:rStyle w:val="A6"/>
          <w:rFonts w:asciiTheme="minorHAnsi" w:hAnsiTheme="minorHAnsi"/>
          <w:color w:val="auto"/>
          <w:szCs w:val="22"/>
        </w:rPr>
      </w:pPr>
    </w:p>
    <w:p w14:paraId="5967FE9B" w14:textId="77777777" w:rsidR="0091139F" w:rsidRDefault="00940E25" w:rsidP="00940E25">
      <w:pPr>
        <w:pStyle w:val="Pa1"/>
        <w:spacing w:after="100"/>
        <w:rPr>
          <w:rStyle w:val="A7"/>
          <w:rFonts w:asciiTheme="minorHAnsi" w:hAnsiTheme="minorHAnsi"/>
          <w:sz w:val="20"/>
          <w:szCs w:val="22"/>
        </w:rPr>
      </w:pPr>
      <w:r w:rsidRPr="00A53AE6">
        <w:rPr>
          <w:rStyle w:val="A6"/>
          <w:rFonts w:asciiTheme="minorHAnsi" w:hAnsiTheme="minorHAnsi"/>
          <w:color w:val="auto"/>
          <w:szCs w:val="22"/>
        </w:rPr>
        <w:t>1</w:t>
      </w:r>
      <w:r w:rsidRPr="00A53AE6">
        <w:rPr>
          <w:rStyle w:val="A6"/>
          <w:rFonts w:asciiTheme="minorHAnsi" w:hAnsiTheme="minorHAnsi"/>
          <w:color w:val="808284"/>
          <w:szCs w:val="22"/>
        </w:rPr>
        <w:t xml:space="preserve"> </w:t>
      </w:r>
      <w:r w:rsidRPr="00A53AE6">
        <w:rPr>
          <w:rStyle w:val="A7"/>
          <w:rFonts w:asciiTheme="minorHAnsi" w:hAnsiTheme="minorHAnsi"/>
          <w:b/>
          <w:bCs/>
          <w:sz w:val="20"/>
          <w:szCs w:val="22"/>
        </w:rPr>
        <w:t xml:space="preserve">mean </w:t>
      </w:r>
      <w:r w:rsidRPr="00A53AE6">
        <w:rPr>
          <w:rStyle w:val="A7"/>
          <w:rFonts w:asciiTheme="minorHAnsi" w:hAnsiTheme="minorHAnsi"/>
          <w:sz w:val="20"/>
          <w:szCs w:val="22"/>
        </w:rPr>
        <w:t xml:space="preserve">– This is the average value of the data set. By </w:t>
      </w:r>
      <w:proofErr w:type="gramStart"/>
      <w:r w:rsidRPr="00A53AE6">
        <w:rPr>
          <w:rStyle w:val="A7"/>
          <w:rFonts w:asciiTheme="minorHAnsi" w:hAnsiTheme="minorHAnsi"/>
          <w:sz w:val="20"/>
          <w:szCs w:val="22"/>
        </w:rPr>
        <w:t>taking into account</w:t>
      </w:r>
      <w:proofErr w:type="gramEnd"/>
      <w:r w:rsidRPr="00A53AE6">
        <w:rPr>
          <w:rStyle w:val="A7"/>
          <w:rFonts w:asciiTheme="minorHAnsi" w:hAnsiTheme="minorHAnsi"/>
          <w:sz w:val="20"/>
          <w:szCs w:val="22"/>
        </w:rPr>
        <w:t xml:space="preserve"> the full earnings distribution, the mean takes into account the low and high earners in an organisation. </w:t>
      </w:r>
    </w:p>
    <w:p w14:paraId="059F5BCD" w14:textId="77777777" w:rsidR="00940E25" w:rsidRPr="00A53AE6" w:rsidRDefault="00940E25" w:rsidP="00940E25">
      <w:pPr>
        <w:pStyle w:val="Pa1"/>
        <w:spacing w:after="100"/>
        <w:rPr>
          <w:rFonts w:asciiTheme="minorHAnsi" w:hAnsiTheme="minorHAnsi" w:cs="KFEYB M+ News Gothic BT"/>
          <w:color w:val="696666"/>
          <w:sz w:val="20"/>
          <w:szCs w:val="22"/>
        </w:rPr>
      </w:pPr>
      <w:r w:rsidRPr="00A53AE6">
        <w:rPr>
          <w:rStyle w:val="A6"/>
          <w:rFonts w:asciiTheme="minorHAnsi" w:hAnsiTheme="minorHAnsi"/>
          <w:color w:val="auto"/>
          <w:szCs w:val="22"/>
        </w:rPr>
        <w:t>2</w:t>
      </w:r>
      <w:r w:rsidRPr="00A53AE6">
        <w:rPr>
          <w:rStyle w:val="A6"/>
          <w:rFonts w:asciiTheme="minorHAnsi" w:hAnsiTheme="minorHAnsi"/>
          <w:color w:val="808284"/>
          <w:szCs w:val="22"/>
        </w:rPr>
        <w:t xml:space="preserve"> </w:t>
      </w:r>
      <w:r w:rsidRPr="00A53AE6">
        <w:rPr>
          <w:rStyle w:val="A7"/>
          <w:rFonts w:asciiTheme="minorHAnsi" w:hAnsiTheme="minorHAnsi"/>
          <w:b/>
          <w:bCs/>
          <w:sz w:val="20"/>
          <w:szCs w:val="22"/>
        </w:rPr>
        <w:t xml:space="preserve">median </w:t>
      </w:r>
      <w:r w:rsidRPr="00A53AE6">
        <w:rPr>
          <w:rStyle w:val="A7"/>
          <w:rFonts w:asciiTheme="minorHAnsi" w:hAnsiTheme="minorHAnsi"/>
          <w:sz w:val="20"/>
          <w:szCs w:val="22"/>
        </w:rPr>
        <w:t xml:space="preserve">– This is the middle value of the data set. By identifying the wage of the middle earner, the median is the best representation of the ‘typical’ </w:t>
      </w:r>
      <w:r w:rsidR="0091139F">
        <w:rPr>
          <w:rStyle w:val="A7"/>
          <w:rFonts w:asciiTheme="minorHAnsi" w:hAnsiTheme="minorHAnsi"/>
          <w:sz w:val="20"/>
          <w:szCs w:val="22"/>
        </w:rPr>
        <w:t>ethnic</w:t>
      </w:r>
      <w:r w:rsidRPr="00A53AE6">
        <w:rPr>
          <w:rStyle w:val="A7"/>
          <w:rFonts w:asciiTheme="minorHAnsi" w:hAnsiTheme="minorHAnsi"/>
          <w:sz w:val="20"/>
          <w:szCs w:val="22"/>
        </w:rPr>
        <w:t xml:space="preserve"> difference. </w:t>
      </w:r>
    </w:p>
    <w:p w14:paraId="4D9172A1" w14:textId="77777777" w:rsidR="00940E25" w:rsidRDefault="00940E25" w:rsidP="00AB3BDD">
      <w:pPr>
        <w:spacing w:after="0" w:line="240" w:lineRule="auto"/>
        <w:rPr>
          <w:rStyle w:val="A7"/>
          <w:sz w:val="20"/>
        </w:rPr>
      </w:pPr>
      <w:r w:rsidRPr="00A53AE6">
        <w:rPr>
          <w:rStyle w:val="A6"/>
          <w:color w:val="auto"/>
          <w:szCs w:val="22"/>
        </w:rPr>
        <w:t>3</w:t>
      </w:r>
      <w:r w:rsidRPr="00A53AE6">
        <w:rPr>
          <w:rStyle w:val="A6"/>
          <w:color w:val="808284"/>
          <w:szCs w:val="22"/>
        </w:rPr>
        <w:t xml:space="preserve"> </w:t>
      </w:r>
      <w:r w:rsidRPr="00A53AE6">
        <w:rPr>
          <w:rStyle w:val="A7"/>
          <w:sz w:val="20"/>
        </w:rPr>
        <w:t xml:space="preserve">This data </w:t>
      </w:r>
      <w:r w:rsidR="00AB3BDD">
        <w:rPr>
          <w:rStyle w:val="A7"/>
          <w:sz w:val="20"/>
        </w:rPr>
        <w:t>illustrates</w:t>
      </w:r>
      <w:r w:rsidRPr="00A53AE6">
        <w:rPr>
          <w:rStyle w:val="A7"/>
          <w:sz w:val="20"/>
        </w:rPr>
        <w:t xml:space="preserve"> the spread of earners across an organisation helping to </w:t>
      </w:r>
      <w:r w:rsidR="00AB3BDD">
        <w:rPr>
          <w:rStyle w:val="A7"/>
          <w:sz w:val="20"/>
        </w:rPr>
        <w:t>show</w:t>
      </w:r>
      <w:r w:rsidRPr="00A53AE6">
        <w:rPr>
          <w:rStyle w:val="A7"/>
          <w:sz w:val="20"/>
        </w:rPr>
        <w:t xml:space="preserve"> employers where </w:t>
      </w:r>
      <w:r w:rsidR="0091139F">
        <w:rPr>
          <w:rStyle w:val="A7"/>
          <w:sz w:val="20"/>
        </w:rPr>
        <w:t xml:space="preserve">certain groups’ </w:t>
      </w:r>
      <w:r w:rsidR="00AB3BDD">
        <w:rPr>
          <w:rStyle w:val="A7"/>
          <w:sz w:val="20"/>
        </w:rPr>
        <w:t>progress might be stalling.</w:t>
      </w:r>
    </w:p>
    <w:p w14:paraId="5FE77C4D" w14:textId="77777777" w:rsidR="008F1F4C" w:rsidRPr="00A53AE6" w:rsidRDefault="008F1F4C" w:rsidP="00AB3BDD">
      <w:pPr>
        <w:spacing w:after="0" w:line="240" w:lineRule="auto"/>
        <w:rPr>
          <w:sz w:val="20"/>
        </w:rPr>
      </w:pPr>
    </w:p>
    <w:p w14:paraId="4E9892CD" w14:textId="77777777" w:rsidR="00BD7428" w:rsidRDefault="00BD7428" w:rsidP="00C30B14">
      <w:pPr>
        <w:pStyle w:val="Pa6"/>
        <w:spacing w:line="240" w:lineRule="auto"/>
        <w:ind w:left="520" w:hanging="520"/>
        <w:rPr>
          <w:rStyle w:val="A16"/>
          <w:rFonts w:asciiTheme="minorHAnsi" w:hAnsiTheme="minorHAnsi"/>
          <w:color w:val="auto"/>
          <w:sz w:val="22"/>
        </w:rPr>
      </w:pPr>
    </w:p>
    <w:p w14:paraId="4E44B3D7" w14:textId="77777777" w:rsidR="00BD7428" w:rsidRDefault="00BD7428" w:rsidP="00C30B14">
      <w:pPr>
        <w:pStyle w:val="Pa6"/>
        <w:spacing w:line="240" w:lineRule="auto"/>
        <w:ind w:left="520" w:hanging="520"/>
        <w:rPr>
          <w:rStyle w:val="A16"/>
          <w:rFonts w:asciiTheme="minorHAnsi" w:hAnsiTheme="minorHAnsi"/>
          <w:color w:val="auto"/>
          <w:sz w:val="22"/>
        </w:rPr>
      </w:pPr>
    </w:p>
    <w:p w14:paraId="3CB41220" w14:textId="77777777" w:rsidR="00940E25" w:rsidRDefault="00B60DE3" w:rsidP="00C30B14">
      <w:pPr>
        <w:pStyle w:val="Pa6"/>
        <w:spacing w:line="240" w:lineRule="auto"/>
        <w:ind w:left="520" w:hanging="520"/>
        <w:rPr>
          <w:rStyle w:val="A16"/>
          <w:rFonts w:asciiTheme="minorHAnsi" w:hAnsiTheme="minorHAnsi"/>
          <w:sz w:val="22"/>
        </w:rPr>
      </w:pPr>
      <w:r>
        <w:rPr>
          <w:rStyle w:val="A16"/>
          <w:rFonts w:asciiTheme="minorHAnsi" w:hAnsiTheme="minorHAnsi"/>
          <w:color w:val="auto"/>
          <w:sz w:val="22"/>
        </w:rPr>
        <w:t xml:space="preserve">3. </w:t>
      </w:r>
      <w:r w:rsidR="00940E25" w:rsidRPr="00B60DE3">
        <w:rPr>
          <w:rStyle w:val="A16"/>
          <w:rFonts w:asciiTheme="minorHAnsi" w:hAnsiTheme="minorHAnsi"/>
          <w:color w:val="auto"/>
          <w:sz w:val="22"/>
        </w:rPr>
        <w:t>The ethnicity p</w:t>
      </w:r>
      <w:r w:rsidR="00940E25" w:rsidRPr="00FC4FF6">
        <w:rPr>
          <w:rStyle w:val="A16"/>
          <w:rFonts w:asciiTheme="minorHAnsi" w:hAnsiTheme="minorHAnsi"/>
          <w:color w:val="auto"/>
          <w:sz w:val="22"/>
        </w:rPr>
        <w:t xml:space="preserve">ay gap at BMet </w:t>
      </w:r>
    </w:p>
    <w:p w14:paraId="6328395A" w14:textId="77777777" w:rsidR="00C30B14" w:rsidRDefault="00C30B14" w:rsidP="00C30B14">
      <w:pPr>
        <w:spacing w:after="0" w:line="240" w:lineRule="auto"/>
      </w:pPr>
    </w:p>
    <w:p w14:paraId="748445DF" w14:textId="5D71FB7F" w:rsidR="008F1F4C" w:rsidRDefault="002E565E" w:rsidP="008F1F4C">
      <w:r>
        <w:t xml:space="preserve">Figures are drawn from </w:t>
      </w:r>
      <w:r w:rsidRPr="00E82CE3">
        <w:rPr>
          <w:b/>
          <w:bCs/>
        </w:rPr>
        <w:t>7</w:t>
      </w:r>
      <w:r w:rsidR="007D1D54" w:rsidRPr="00E82CE3">
        <w:rPr>
          <w:b/>
          <w:bCs/>
        </w:rPr>
        <w:t>91</w:t>
      </w:r>
      <w:r w:rsidRPr="00A63DDA">
        <w:t xml:space="preserve"> staff</w:t>
      </w:r>
      <w:r w:rsidRPr="00A63DDA">
        <w:rPr>
          <w:b/>
        </w:rPr>
        <w:t xml:space="preserve"> </w:t>
      </w:r>
      <w:r>
        <w:t xml:space="preserve">who qualify as ‘full pay relevant employees’ </w:t>
      </w:r>
      <w:r w:rsidRPr="00A53AE6">
        <w:rPr>
          <w:b/>
          <w:vertAlign w:val="superscript"/>
        </w:rPr>
        <w:t>4</w:t>
      </w:r>
      <w:r>
        <w:t xml:space="preserve"> on the snapshot date of 31</w:t>
      </w:r>
      <w:r w:rsidRPr="003E51E1">
        <w:rPr>
          <w:vertAlign w:val="superscript"/>
        </w:rPr>
        <w:t>st</w:t>
      </w:r>
      <w:r>
        <w:t xml:space="preserve"> March 202</w:t>
      </w:r>
      <w:r w:rsidR="007D1D54">
        <w:t>1</w:t>
      </w:r>
      <w:r>
        <w:t>.</w:t>
      </w:r>
      <w:r w:rsidR="008D2937">
        <w:t xml:space="preserve"> </w:t>
      </w:r>
      <w:r w:rsidR="00196C80" w:rsidRPr="00C757FE">
        <w:t>669</w:t>
      </w:r>
      <w:r w:rsidR="008D2937" w:rsidRPr="00C757FE">
        <w:t xml:space="preserve"> are </w:t>
      </w:r>
      <w:r w:rsidR="00CA3421" w:rsidRPr="00C757FE">
        <w:t xml:space="preserve">salaried employees and </w:t>
      </w:r>
      <w:r w:rsidR="00CD6AD4" w:rsidRPr="00C757FE">
        <w:t>122</w:t>
      </w:r>
      <w:r w:rsidR="00CA3421" w:rsidRPr="00C757FE">
        <w:t xml:space="preserve"> are hourly paid associates.</w:t>
      </w:r>
      <w:r w:rsidR="007D1D54" w:rsidRPr="00C757FE">
        <w:t xml:space="preserve"> </w:t>
      </w:r>
      <w:r w:rsidR="007D1D54" w:rsidRPr="00C757FE">
        <w:rPr>
          <w:color w:val="000000" w:themeColor="text1"/>
        </w:rPr>
        <w:t>There</w:t>
      </w:r>
      <w:r w:rsidR="007D1D54" w:rsidRPr="00545D28">
        <w:rPr>
          <w:color w:val="000000" w:themeColor="text1"/>
        </w:rPr>
        <w:t xml:space="preserve"> has been a small increase in staff numbers</w:t>
      </w:r>
      <w:r w:rsidR="007D1D54">
        <w:rPr>
          <w:color w:val="000000" w:themeColor="text1"/>
        </w:rPr>
        <w:t xml:space="preserve"> from 2020 (772) and there is a</w:t>
      </w:r>
      <w:r w:rsidR="00721E8A">
        <w:t xml:space="preserve"> </w:t>
      </w:r>
      <w:r w:rsidR="00721E8A" w:rsidRPr="004C3A53">
        <w:t xml:space="preserve">slight </w:t>
      </w:r>
      <w:r w:rsidR="00207BCA" w:rsidRPr="004C3A53">
        <w:t xml:space="preserve">shift in the </w:t>
      </w:r>
      <w:r w:rsidR="00721E8A" w:rsidRPr="004C3A53">
        <w:t xml:space="preserve">ethnic </w:t>
      </w:r>
      <w:r w:rsidR="00207BCA" w:rsidRPr="004C3A53">
        <w:t xml:space="preserve">representation </w:t>
      </w:r>
      <w:r w:rsidR="00721E8A" w:rsidRPr="004C3A53">
        <w:t>across the workforce.</w:t>
      </w:r>
      <w:r w:rsidR="00721E8A">
        <w:t xml:space="preserve"> </w:t>
      </w:r>
      <w:r w:rsidR="008F1F4C">
        <w:t xml:space="preserve">See </w:t>
      </w:r>
      <w:r w:rsidR="008F1F4C" w:rsidRPr="00A63DDA">
        <w:rPr>
          <w:i/>
        </w:rPr>
        <w:t>Table 1.</w:t>
      </w:r>
    </w:p>
    <w:p w14:paraId="11797BB1" w14:textId="50BF6A2F" w:rsidR="004F5C4A" w:rsidRDefault="004F5C4A" w:rsidP="00E20D30">
      <w:r>
        <w:t xml:space="preserve">In </w:t>
      </w:r>
      <w:r w:rsidR="002E565E">
        <w:t>202</w:t>
      </w:r>
      <w:r w:rsidR="008C44A8">
        <w:t>1</w:t>
      </w:r>
      <w:r>
        <w:t>:</w:t>
      </w:r>
    </w:p>
    <w:p w14:paraId="7C8AFC8E" w14:textId="7B2BAC71" w:rsidR="00D90B49" w:rsidRDefault="008F1F4C" w:rsidP="002825A0">
      <w:pPr>
        <w:pStyle w:val="ListParagraph"/>
        <w:numPr>
          <w:ilvl w:val="0"/>
          <w:numId w:val="2"/>
        </w:numPr>
      </w:pPr>
      <w:r>
        <w:t>4</w:t>
      </w:r>
      <w:r w:rsidR="00DF77ED">
        <w:t>26</w:t>
      </w:r>
      <w:r w:rsidR="002825A0">
        <w:t xml:space="preserve"> </w:t>
      </w:r>
      <w:r w:rsidR="00430CAA">
        <w:t xml:space="preserve">staff </w:t>
      </w:r>
      <w:r w:rsidR="002825A0">
        <w:t xml:space="preserve">are </w:t>
      </w:r>
      <w:r w:rsidR="00430CAA">
        <w:t>white</w:t>
      </w:r>
      <w:r w:rsidR="00613E53">
        <w:t xml:space="preserve"> (</w:t>
      </w:r>
      <w:r w:rsidR="0059340C">
        <w:t>4</w:t>
      </w:r>
      <w:r w:rsidR="00AC130C">
        <w:t>07</w:t>
      </w:r>
      <w:r w:rsidR="00613E53">
        <w:t xml:space="preserve"> </w:t>
      </w:r>
      <w:r w:rsidR="002825A0">
        <w:t>White British</w:t>
      </w:r>
      <w:r w:rsidR="00613E53">
        <w:t xml:space="preserve"> + </w:t>
      </w:r>
      <w:r w:rsidR="00EC7A7B">
        <w:t>19</w:t>
      </w:r>
      <w:r w:rsidR="00613E53">
        <w:t xml:space="preserve"> White Other and White Irish)</w:t>
      </w:r>
    </w:p>
    <w:p w14:paraId="7B07C9D2" w14:textId="13D19536" w:rsidR="002825A0" w:rsidRDefault="0059340C" w:rsidP="002825A0">
      <w:pPr>
        <w:pStyle w:val="ListParagraph"/>
        <w:numPr>
          <w:ilvl w:val="0"/>
          <w:numId w:val="2"/>
        </w:numPr>
      </w:pPr>
      <w:r>
        <w:t>1</w:t>
      </w:r>
      <w:r w:rsidR="00111451">
        <w:t>90</w:t>
      </w:r>
      <w:r w:rsidR="00AB3BDD">
        <w:t xml:space="preserve"> are</w:t>
      </w:r>
      <w:r w:rsidR="00430CAA">
        <w:t xml:space="preserve"> from a </w:t>
      </w:r>
      <w:r w:rsidR="00430CAA">
        <w:rPr>
          <w:rStyle w:val="A4"/>
          <w:sz w:val="22"/>
          <w:szCs w:val="22"/>
        </w:rPr>
        <w:t>Black, Asian and Minority Ethnic background</w:t>
      </w:r>
    </w:p>
    <w:p w14:paraId="74D66F67" w14:textId="6541BFCB" w:rsidR="00D90B49" w:rsidRDefault="0059340C" w:rsidP="00E20D30">
      <w:pPr>
        <w:pStyle w:val="ListParagraph"/>
        <w:numPr>
          <w:ilvl w:val="0"/>
          <w:numId w:val="2"/>
        </w:numPr>
      </w:pPr>
      <w:r>
        <w:t>1</w:t>
      </w:r>
      <w:r w:rsidR="009C014C">
        <w:t>75</w:t>
      </w:r>
      <w:r w:rsidR="002825A0">
        <w:t xml:space="preserve"> </w:t>
      </w:r>
      <w:r w:rsidR="00430CAA">
        <w:t xml:space="preserve">staff </w:t>
      </w:r>
      <w:r w:rsidR="002825A0">
        <w:t xml:space="preserve">are </w:t>
      </w:r>
      <w:r w:rsidR="00430CAA">
        <w:t>‘</w:t>
      </w:r>
      <w:r w:rsidR="002825A0">
        <w:t>not known</w:t>
      </w:r>
      <w:r w:rsidR="00430CAA">
        <w:t>’</w:t>
      </w:r>
      <w:r w:rsidR="002825A0">
        <w:t xml:space="preserve"> </w:t>
      </w:r>
      <w:r w:rsidR="00AB3BDD">
        <w:t>(includes those who ‘</w:t>
      </w:r>
      <w:r w:rsidR="002825A0">
        <w:t>prefer not say</w:t>
      </w:r>
      <w:r w:rsidR="00AB3BDD">
        <w:t>’)</w:t>
      </w:r>
      <w:r w:rsidR="00853EA1">
        <w:t xml:space="preserve"> </w:t>
      </w:r>
      <w:r w:rsidR="00D90B49">
        <w:t xml:space="preserve"> </w:t>
      </w:r>
    </w:p>
    <w:p w14:paraId="617CB4D5" w14:textId="340AB09F" w:rsidR="00E20D30" w:rsidRPr="009D62F0" w:rsidRDefault="00E20D30" w:rsidP="00E20D30">
      <w:pPr>
        <w:rPr>
          <w:i/>
          <w:sz w:val="20"/>
        </w:rPr>
      </w:pPr>
      <w:r w:rsidRPr="009D62F0">
        <w:rPr>
          <w:i/>
          <w:sz w:val="20"/>
        </w:rPr>
        <w:t xml:space="preserve">Table 1 – Percentage </w:t>
      </w:r>
      <w:r w:rsidR="00D90B49">
        <w:rPr>
          <w:i/>
          <w:sz w:val="20"/>
        </w:rPr>
        <w:t>ethnic split</w:t>
      </w:r>
      <w:r w:rsidR="0056540B">
        <w:rPr>
          <w:i/>
          <w:sz w:val="20"/>
        </w:rPr>
        <w:t xml:space="preserve"> over 3 years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74"/>
        <w:gridCol w:w="1134"/>
        <w:gridCol w:w="977"/>
        <w:gridCol w:w="906"/>
        <w:gridCol w:w="906"/>
        <w:gridCol w:w="906"/>
        <w:gridCol w:w="906"/>
      </w:tblGrid>
      <w:tr w:rsidR="00B32704" w:rsidRPr="00A54867" w14:paraId="348EAFD1" w14:textId="77777777" w:rsidTr="00395582">
        <w:trPr>
          <w:jc w:val="center"/>
        </w:trPr>
        <w:tc>
          <w:tcPr>
            <w:tcW w:w="2274" w:type="dxa"/>
            <w:vMerge w:val="restart"/>
            <w:shd w:val="clear" w:color="auto" w:fill="DDD9C3" w:themeFill="background2" w:themeFillShade="E6"/>
          </w:tcPr>
          <w:p w14:paraId="0832374F" w14:textId="77777777" w:rsidR="00B32704" w:rsidRPr="00A54867" w:rsidRDefault="00B32704" w:rsidP="007F037E">
            <w:pPr>
              <w:rPr>
                <w:color w:val="808080" w:themeColor="background1" w:themeShade="80"/>
                <w:sz w:val="20"/>
                <w:szCs w:val="20"/>
              </w:rPr>
            </w:pPr>
            <w:r w:rsidRPr="00B32704">
              <w:rPr>
                <w:sz w:val="20"/>
                <w:szCs w:val="20"/>
              </w:rPr>
              <w:t>Category</w:t>
            </w:r>
          </w:p>
        </w:tc>
        <w:tc>
          <w:tcPr>
            <w:tcW w:w="2111" w:type="dxa"/>
            <w:gridSpan w:val="2"/>
            <w:shd w:val="clear" w:color="auto" w:fill="DDD9C3" w:themeFill="background2" w:themeFillShade="E6"/>
          </w:tcPr>
          <w:p w14:paraId="7E10FD7D" w14:textId="44E07C53" w:rsidR="00B32704" w:rsidRPr="00A54867" w:rsidRDefault="00B32704" w:rsidP="000C6E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812" w:type="dxa"/>
            <w:gridSpan w:val="2"/>
            <w:shd w:val="clear" w:color="auto" w:fill="auto"/>
          </w:tcPr>
          <w:p w14:paraId="098082B5" w14:textId="509BA4E0" w:rsidR="00B32704" w:rsidRPr="00B32704" w:rsidRDefault="00B32704" w:rsidP="000C6E59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B32704">
              <w:rPr>
                <w:color w:val="808080" w:themeColor="background1" w:themeShade="80"/>
                <w:sz w:val="20"/>
                <w:szCs w:val="20"/>
              </w:rPr>
              <w:t>2020</w:t>
            </w:r>
          </w:p>
        </w:tc>
        <w:tc>
          <w:tcPr>
            <w:tcW w:w="1812" w:type="dxa"/>
            <w:gridSpan w:val="2"/>
            <w:shd w:val="clear" w:color="auto" w:fill="auto"/>
          </w:tcPr>
          <w:p w14:paraId="2223054A" w14:textId="77777777" w:rsidR="00B32704" w:rsidRPr="00A54867" w:rsidRDefault="00B32704" w:rsidP="000C6E59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54867">
              <w:rPr>
                <w:color w:val="808080" w:themeColor="background1" w:themeShade="80"/>
                <w:sz w:val="20"/>
                <w:szCs w:val="20"/>
              </w:rPr>
              <w:t>2019</w:t>
            </w:r>
          </w:p>
        </w:tc>
      </w:tr>
      <w:tr w:rsidR="00B32704" w:rsidRPr="00A54867" w14:paraId="73E7DE65" w14:textId="77777777" w:rsidTr="00395582">
        <w:trPr>
          <w:jc w:val="center"/>
        </w:trPr>
        <w:tc>
          <w:tcPr>
            <w:tcW w:w="2274" w:type="dxa"/>
            <w:vMerge/>
            <w:shd w:val="clear" w:color="auto" w:fill="DDD9C3" w:themeFill="background2" w:themeFillShade="E6"/>
          </w:tcPr>
          <w:p w14:paraId="60FBA6C9" w14:textId="77777777" w:rsidR="00B32704" w:rsidRPr="00A54867" w:rsidRDefault="00B32704" w:rsidP="007F037E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14:paraId="4247E5D4" w14:textId="730E44E8" w:rsidR="00B32704" w:rsidRPr="00A54867" w:rsidRDefault="00B32704" w:rsidP="00A54867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77" w:type="dxa"/>
            <w:shd w:val="clear" w:color="auto" w:fill="DDD9C3" w:themeFill="background2" w:themeFillShade="E6"/>
          </w:tcPr>
          <w:p w14:paraId="724E06A5" w14:textId="4D57FF92" w:rsidR="00B32704" w:rsidRPr="00A54867" w:rsidRDefault="00B32704" w:rsidP="00A54867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No’s</w:t>
            </w:r>
          </w:p>
        </w:tc>
        <w:tc>
          <w:tcPr>
            <w:tcW w:w="906" w:type="dxa"/>
            <w:shd w:val="clear" w:color="auto" w:fill="auto"/>
          </w:tcPr>
          <w:p w14:paraId="313A6043" w14:textId="6CD995A0" w:rsidR="00B32704" w:rsidRPr="00B32704" w:rsidRDefault="00B32704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B32704">
              <w:rPr>
                <w:color w:val="808080" w:themeColor="background1" w:themeShade="80"/>
                <w:sz w:val="20"/>
                <w:szCs w:val="20"/>
              </w:rPr>
              <w:t>%</w:t>
            </w:r>
          </w:p>
        </w:tc>
        <w:tc>
          <w:tcPr>
            <w:tcW w:w="906" w:type="dxa"/>
            <w:shd w:val="clear" w:color="auto" w:fill="auto"/>
          </w:tcPr>
          <w:p w14:paraId="278BABC1" w14:textId="77777777" w:rsidR="00B32704" w:rsidRPr="00B32704" w:rsidRDefault="00B32704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B32704">
              <w:rPr>
                <w:color w:val="808080" w:themeColor="background1" w:themeShade="80"/>
                <w:sz w:val="20"/>
                <w:szCs w:val="20"/>
              </w:rPr>
              <w:t>No’s</w:t>
            </w:r>
          </w:p>
        </w:tc>
        <w:tc>
          <w:tcPr>
            <w:tcW w:w="906" w:type="dxa"/>
            <w:shd w:val="clear" w:color="auto" w:fill="auto"/>
          </w:tcPr>
          <w:p w14:paraId="3448D48B" w14:textId="77777777" w:rsidR="00B32704" w:rsidRPr="00A54867" w:rsidRDefault="00B32704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A54867">
              <w:rPr>
                <w:color w:val="808080" w:themeColor="background1" w:themeShade="80"/>
                <w:sz w:val="20"/>
                <w:szCs w:val="20"/>
              </w:rPr>
              <w:t>%</w:t>
            </w:r>
          </w:p>
        </w:tc>
        <w:tc>
          <w:tcPr>
            <w:tcW w:w="906" w:type="dxa"/>
            <w:shd w:val="clear" w:color="auto" w:fill="auto"/>
          </w:tcPr>
          <w:p w14:paraId="690EB2A2" w14:textId="77777777" w:rsidR="00B32704" w:rsidRPr="00A54867" w:rsidRDefault="00B32704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A54867">
              <w:rPr>
                <w:color w:val="808080" w:themeColor="background1" w:themeShade="80"/>
                <w:sz w:val="20"/>
                <w:szCs w:val="20"/>
              </w:rPr>
              <w:t>No’s</w:t>
            </w:r>
          </w:p>
        </w:tc>
      </w:tr>
      <w:tr w:rsidR="000431CC" w:rsidRPr="00A54867" w14:paraId="250FC365" w14:textId="77777777" w:rsidTr="00395582">
        <w:trPr>
          <w:jc w:val="center"/>
        </w:trPr>
        <w:tc>
          <w:tcPr>
            <w:tcW w:w="2274" w:type="dxa"/>
          </w:tcPr>
          <w:p w14:paraId="214BB7F6" w14:textId="77777777" w:rsidR="000431CC" w:rsidRPr="00A54867" w:rsidRDefault="000431CC" w:rsidP="007F037E">
            <w:pPr>
              <w:rPr>
                <w:sz w:val="20"/>
                <w:szCs w:val="20"/>
              </w:rPr>
            </w:pPr>
            <w:r w:rsidRPr="00A54867">
              <w:rPr>
                <w:sz w:val="20"/>
                <w:szCs w:val="20"/>
              </w:rPr>
              <w:t>White</w:t>
            </w:r>
          </w:p>
        </w:tc>
        <w:tc>
          <w:tcPr>
            <w:tcW w:w="1134" w:type="dxa"/>
          </w:tcPr>
          <w:p w14:paraId="133E1787" w14:textId="260F634A" w:rsidR="000431CC" w:rsidRPr="00A54867" w:rsidRDefault="00897C1F" w:rsidP="00A548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53.9</w:t>
            </w:r>
            <w:r w:rsidR="00E82CE3">
              <w:rPr>
                <w:sz w:val="20"/>
                <w:szCs w:val="20"/>
              </w:rPr>
              <w:t>%</w:t>
            </w:r>
          </w:p>
        </w:tc>
        <w:tc>
          <w:tcPr>
            <w:tcW w:w="977" w:type="dxa"/>
          </w:tcPr>
          <w:p w14:paraId="6319BBF3" w14:textId="6B906063" w:rsidR="000431CC" w:rsidRPr="00A54867" w:rsidRDefault="00260DDB" w:rsidP="00A548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906" w:type="dxa"/>
          </w:tcPr>
          <w:p w14:paraId="70DD282A" w14:textId="3661DAF5" w:rsidR="000431CC" w:rsidRPr="00B32704" w:rsidRDefault="000431CC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B32704">
              <w:rPr>
                <w:color w:val="808080" w:themeColor="background1" w:themeShade="80"/>
                <w:sz w:val="20"/>
                <w:szCs w:val="20"/>
              </w:rPr>
              <w:t>60.1%</w:t>
            </w:r>
          </w:p>
        </w:tc>
        <w:tc>
          <w:tcPr>
            <w:tcW w:w="906" w:type="dxa"/>
          </w:tcPr>
          <w:p w14:paraId="6F5ABE41" w14:textId="77777777" w:rsidR="000431CC" w:rsidRPr="00B32704" w:rsidRDefault="000431CC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B32704">
              <w:rPr>
                <w:color w:val="808080" w:themeColor="background1" w:themeShade="80"/>
                <w:sz w:val="20"/>
                <w:szCs w:val="20"/>
              </w:rPr>
              <w:t>464</w:t>
            </w:r>
          </w:p>
        </w:tc>
        <w:tc>
          <w:tcPr>
            <w:tcW w:w="906" w:type="dxa"/>
          </w:tcPr>
          <w:p w14:paraId="0741AC24" w14:textId="77777777" w:rsidR="000431CC" w:rsidRPr="00A54867" w:rsidRDefault="000431CC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A54867">
              <w:rPr>
                <w:color w:val="808080" w:themeColor="background1" w:themeShade="80"/>
                <w:sz w:val="20"/>
                <w:szCs w:val="20"/>
              </w:rPr>
              <w:t>66.1%</w:t>
            </w:r>
          </w:p>
        </w:tc>
        <w:tc>
          <w:tcPr>
            <w:tcW w:w="906" w:type="dxa"/>
            <w:shd w:val="clear" w:color="auto" w:fill="FFFFFF" w:themeFill="background1"/>
          </w:tcPr>
          <w:p w14:paraId="7D75A389" w14:textId="77777777" w:rsidR="000431CC" w:rsidRPr="00A54867" w:rsidRDefault="000431CC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A54867">
              <w:rPr>
                <w:color w:val="808080" w:themeColor="background1" w:themeShade="80"/>
                <w:sz w:val="20"/>
                <w:szCs w:val="20"/>
              </w:rPr>
              <w:t>703</w:t>
            </w:r>
          </w:p>
        </w:tc>
      </w:tr>
      <w:tr w:rsidR="000431CC" w:rsidRPr="00A54867" w14:paraId="2778CD91" w14:textId="77777777" w:rsidTr="00395582">
        <w:trPr>
          <w:jc w:val="center"/>
        </w:trPr>
        <w:tc>
          <w:tcPr>
            <w:tcW w:w="2274" w:type="dxa"/>
          </w:tcPr>
          <w:p w14:paraId="68C7C0A5" w14:textId="77777777" w:rsidR="000431CC" w:rsidRPr="00A54867" w:rsidRDefault="000431CC" w:rsidP="007F037E">
            <w:pPr>
              <w:rPr>
                <w:sz w:val="20"/>
                <w:szCs w:val="20"/>
              </w:rPr>
            </w:pPr>
            <w:r w:rsidRPr="00A54867">
              <w:rPr>
                <w:sz w:val="20"/>
                <w:szCs w:val="20"/>
              </w:rPr>
              <w:t>BAME</w:t>
            </w:r>
          </w:p>
        </w:tc>
        <w:tc>
          <w:tcPr>
            <w:tcW w:w="1134" w:type="dxa"/>
          </w:tcPr>
          <w:p w14:paraId="758240D9" w14:textId="0B03A64C" w:rsidR="000431CC" w:rsidRPr="00A54867" w:rsidRDefault="00FF08C1" w:rsidP="00A548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</w:t>
            </w:r>
            <w:r w:rsidR="00E82CE3">
              <w:rPr>
                <w:sz w:val="20"/>
                <w:szCs w:val="20"/>
              </w:rPr>
              <w:t>%</w:t>
            </w:r>
          </w:p>
        </w:tc>
        <w:tc>
          <w:tcPr>
            <w:tcW w:w="977" w:type="dxa"/>
          </w:tcPr>
          <w:p w14:paraId="1FC1F287" w14:textId="330AB846" w:rsidR="000431CC" w:rsidRPr="00A54867" w:rsidRDefault="00260DDB" w:rsidP="00A548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06" w:type="dxa"/>
          </w:tcPr>
          <w:p w14:paraId="52367AAB" w14:textId="6D4C3609" w:rsidR="000431CC" w:rsidRPr="00B32704" w:rsidRDefault="000431CC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B32704">
              <w:rPr>
                <w:color w:val="808080" w:themeColor="background1" w:themeShade="80"/>
                <w:sz w:val="20"/>
                <w:szCs w:val="20"/>
              </w:rPr>
              <w:t>22.3%</w:t>
            </w:r>
          </w:p>
        </w:tc>
        <w:tc>
          <w:tcPr>
            <w:tcW w:w="906" w:type="dxa"/>
          </w:tcPr>
          <w:p w14:paraId="0F0CCE36" w14:textId="77777777" w:rsidR="000431CC" w:rsidRPr="00B32704" w:rsidRDefault="000431CC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B32704">
              <w:rPr>
                <w:color w:val="808080" w:themeColor="background1" w:themeShade="80"/>
                <w:sz w:val="20"/>
                <w:szCs w:val="20"/>
              </w:rPr>
              <w:t>172</w:t>
            </w:r>
          </w:p>
        </w:tc>
        <w:tc>
          <w:tcPr>
            <w:tcW w:w="906" w:type="dxa"/>
          </w:tcPr>
          <w:p w14:paraId="794FAA28" w14:textId="77777777" w:rsidR="000431CC" w:rsidRPr="00A54867" w:rsidRDefault="000431CC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A54867">
              <w:rPr>
                <w:color w:val="808080" w:themeColor="background1" w:themeShade="80"/>
                <w:sz w:val="20"/>
                <w:szCs w:val="20"/>
              </w:rPr>
              <w:t>19.6%</w:t>
            </w:r>
          </w:p>
        </w:tc>
        <w:tc>
          <w:tcPr>
            <w:tcW w:w="906" w:type="dxa"/>
            <w:shd w:val="clear" w:color="auto" w:fill="FFFFFF" w:themeFill="background1"/>
          </w:tcPr>
          <w:p w14:paraId="003FB7BF" w14:textId="77777777" w:rsidR="000431CC" w:rsidRPr="00A54867" w:rsidRDefault="000431CC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A54867">
              <w:rPr>
                <w:color w:val="808080" w:themeColor="background1" w:themeShade="80"/>
                <w:sz w:val="20"/>
                <w:szCs w:val="20"/>
              </w:rPr>
              <w:t>208</w:t>
            </w:r>
          </w:p>
        </w:tc>
      </w:tr>
      <w:tr w:rsidR="000431CC" w:rsidRPr="00A54867" w14:paraId="4A051901" w14:textId="77777777" w:rsidTr="00395582">
        <w:trPr>
          <w:jc w:val="center"/>
        </w:trPr>
        <w:tc>
          <w:tcPr>
            <w:tcW w:w="2274" w:type="dxa"/>
          </w:tcPr>
          <w:p w14:paraId="6072E979" w14:textId="0D0C4CC0" w:rsidR="000431CC" w:rsidRPr="00B715D9" w:rsidRDefault="000431CC" w:rsidP="007F037E">
            <w:pPr>
              <w:rPr>
                <w:sz w:val="20"/>
                <w:szCs w:val="20"/>
              </w:rPr>
            </w:pPr>
            <w:r w:rsidRPr="00B715D9">
              <w:rPr>
                <w:sz w:val="20"/>
                <w:szCs w:val="20"/>
              </w:rPr>
              <w:t>Not known</w:t>
            </w:r>
            <w:r w:rsidR="00395582" w:rsidRPr="00B715D9">
              <w:rPr>
                <w:sz w:val="20"/>
                <w:szCs w:val="20"/>
              </w:rPr>
              <w:t xml:space="preserve"> </w:t>
            </w:r>
            <w:r w:rsidR="00F1472D">
              <w:rPr>
                <w:sz w:val="20"/>
                <w:szCs w:val="20"/>
              </w:rPr>
              <w:t>all</w:t>
            </w:r>
          </w:p>
        </w:tc>
        <w:tc>
          <w:tcPr>
            <w:tcW w:w="1134" w:type="dxa"/>
          </w:tcPr>
          <w:p w14:paraId="664499C2" w14:textId="3092CE5E" w:rsidR="000431CC" w:rsidRPr="00B715D9" w:rsidRDefault="00FF08C1" w:rsidP="00A54867">
            <w:pPr>
              <w:jc w:val="right"/>
              <w:rPr>
                <w:sz w:val="20"/>
                <w:szCs w:val="20"/>
              </w:rPr>
            </w:pPr>
            <w:r w:rsidRPr="00B715D9">
              <w:rPr>
                <w:sz w:val="20"/>
                <w:szCs w:val="20"/>
              </w:rPr>
              <w:t>22</w:t>
            </w:r>
            <w:r w:rsidR="00E82CE3" w:rsidRPr="00B715D9">
              <w:rPr>
                <w:sz w:val="20"/>
                <w:szCs w:val="20"/>
              </w:rPr>
              <w:t>.1%</w:t>
            </w:r>
          </w:p>
        </w:tc>
        <w:tc>
          <w:tcPr>
            <w:tcW w:w="977" w:type="dxa"/>
          </w:tcPr>
          <w:p w14:paraId="0AF6C2F8" w14:textId="773475E8" w:rsidR="000431CC" w:rsidRPr="00B715D9" w:rsidRDefault="00260DDB" w:rsidP="00A54867">
            <w:pPr>
              <w:jc w:val="right"/>
              <w:rPr>
                <w:sz w:val="20"/>
                <w:szCs w:val="20"/>
              </w:rPr>
            </w:pPr>
            <w:r w:rsidRPr="00B715D9">
              <w:rPr>
                <w:sz w:val="20"/>
                <w:szCs w:val="20"/>
              </w:rPr>
              <w:t>175</w:t>
            </w:r>
          </w:p>
        </w:tc>
        <w:tc>
          <w:tcPr>
            <w:tcW w:w="906" w:type="dxa"/>
          </w:tcPr>
          <w:p w14:paraId="3373BF38" w14:textId="6E81F73D" w:rsidR="000431CC" w:rsidRPr="00B32704" w:rsidRDefault="000431CC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B32704">
              <w:rPr>
                <w:color w:val="808080" w:themeColor="background1" w:themeShade="80"/>
                <w:sz w:val="20"/>
                <w:szCs w:val="20"/>
              </w:rPr>
              <w:t>17.6%</w:t>
            </w:r>
          </w:p>
        </w:tc>
        <w:tc>
          <w:tcPr>
            <w:tcW w:w="906" w:type="dxa"/>
          </w:tcPr>
          <w:p w14:paraId="7A7B8F46" w14:textId="77777777" w:rsidR="000431CC" w:rsidRPr="00B32704" w:rsidRDefault="000431CC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B32704">
              <w:rPr>
                <w:color w:val="808080" w:themeColor="background1" w:themeShade="80"/>
                <w:sz w:val="20"/>
                <w:szCs w:val="20"/>
              </w:rPr>
              <w:t>136</w:t>
            </w:r>
          </w:p>
        </w:tc>
        <w:tc>
          <w:tcPr>
            <w:tcW w:w="906" w:type="dxa"/>
          </w:tcPr>
          <w:p w14:paraId="713458A7" w14:textId="77777777" w:rsidR="000431CC" w:rsidRPr="00A54867" w:rsidRDefault="000431CC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A54867">
              <w:rPr>
                <w:color w:val="808080" w:themeColor="background1" w:themeShade="80"/>
                <w:sz w:val="20"/>
                <w:szCs w:val="20"/>
              </w:rPr>
              <w:t>14.3%</w:t>
            </w:r>
          </w:p>
        </w:tc>
        <w:tc>
          <w:tcPr>
            <w:tcW w:w="906" w:type="dxa"/>
            <w:shd w:val="clear" w:color="auto" w:fill="FFFFFF" w:themeFill="background1"/>
          </w:tcPr>
          <w:p w14:paraId="0039F1FD" w14:textId="77777777" w:rsidR="000431CC" w:rsidRPr="00A54867" w:rsidRDefault="000431CC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A54867">
              <w:rPr>
                <w:color w:val="808080" w:themeColor="background1" w:themeShade="80"/>
                <w:sz w:val="20"/>
                <w:szCs w:val="20"/>
              </w:rPr>
              <w:t>152</w:t>
            </w:r>
          </w:p>
        </w:tc>
      </w:tr>
      <w:tr w:rsidR="00395582" w:rsidRPr="00A54867" w14:paraId="7D71C4F5" w14:textId="77777777" w:rsidTr="00395582">
        <w:trPr>
          <w:jc w:val="center"/>
        </w:trPr>
        <w:tc>
          <w:tcPr>
            <w:tcW w:w="2274" w:type="dxa"/>
          </w:tcPr>
          <w:p w14:paraId="51F88877" w14:textId="48A54B7D" w:rsidR="00395582" w:rsidRPr="003A501E" w:rsidRDefault="00395582" w:rsidP="007F037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A501E">
              <w:rPr>
                <w:color w:val="808080" w:themeColor="background1" w:themeShade="80"/>
                <w:sz w:val="20"/>
                <w:szCs w:val="20"/>
              </w:rPr>
              <w:t>Not known hourly paid</w:t>
            </w:r>
          </w:p>
        </w:tc>
        <w:tc>
          <w:tcPr>
            <w:tcW w:w="1134" w:type="dxa"/>
          </w:tcPr>
          <w:p w14:paraId="469824A2" w14:textId="1D089F4B" w:rsidR="00395582" w:rsidRPr="003A501E" w:rsidRDefault="00B715D9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3A501E">
              <w:rPr>
                <w:color w:val="808080" w:themeColor="background1" w:themeShade="80"/>
                <w:sz w:val="20"/>
                <w:szCs w:val="20"/>
              </w:rPr>
              <w:t>63.9%</w:t>
            </w:r>
          </w:p>
        </w:tc>
        <w:tc>
          <w:tcPr>
            <w:tcW w:w="977" w:type="dxa"/>
          </w:tcPr>
          <w:p w14:paraId="55C227CD" w14:textId="1E3B5736" w:rsidR="00395582" w:rsidRPr="003A501E" w:rsidRDefault="0058182E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3A501E">
              <w:rPr>
                <w:color w:val="808080" w:themeColor="background1" w:themeShade="80"/>
                <w:sz w:val="20"/>
                <w:szCs w:val="20"/>
              </w:rPr>
              <w:t>78</w:t>
            </w:r>
          </w:p>
        </w:tc>
        <w:tc>
          <w:tcPr>
            <w:tcW w:w="906" w:type="dxa"/>
          </w:tcPr>
          <w:p w14:paraId="147DD238" w14:textId="77777777" w:rsidR="00395582" w:rsidRPr="00AA1087" w:rsidRDefault="00395582" w:rsidP="00A54867">
            <w:pPr>
              <w:jc w:val="right"/>
              <w:rPr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14:paraId="39F673A7" w14:textId="77777777" w:rsidR="00395582" w:rsidRPr="00AA1087" w:rsidRDefault="00395582" w:rsidP="00A54867">
            <w:pPr>
              <w:jc w:val="right"/>
              <w:rPr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14:paraId="3EBFA82F" w14:textId="77777777" w:rsidR="00395582" w:rsidRPr="00AA1087" w:rsidRDefault="00395582" w:rsidP="00A54867">
            <w:pPr>
              <w:jc w:val="right"/>
              <w:rPr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59A3D6BC" w14:textId="77777777" w:rsidR="00395582" w:rsidRPr="00AA1087" w:rsidRDefault="00395582" w:rsidP="00A54867">
            <w:pPr>
              <w:jc w:val="right"/>
              <w:rPr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</w:tr>
      <w:tr w:rsidR="000431CC" w:rsidRPr="00A54867" w14:paraId="7006FEED" w14:textId="77777777" w:rsidTr="00395582">
        <w:trPr>
          <w:jc w:val="center"/>
        </w:trPr>
        <w:tc>
          <w:tcPr>
            <w:tcW w:w="2274" w:type="dxa"/>
          </w:tcPr>
          <w:p w14:paraId="409D07A4" w14:textId="77777777" w:rsidR="000431CC" w:rsidRPr="00A54867" w:rsidRDefault="000431CC" w:rsidP="007F037E">
            <w:pPr>
              <w:rPr>
                <w:i/>
                <w:sz w:val="20"/>
                <w:szCs w:val="20"/>
              </w:rPr>
            </w:pPr>
            <w:r w:rsidRPr="00A54867">
              <w:rPr>
                <w:i/>
                <w:sz w:val="20"/>
                <w:szCs w:val="20"/>
              </w:rPr>
              <w:t>Total employees</w:t>
            </w:r>
          </w:p>
        </w:tc>
        <w:tc>
          <w:tcPr>
            <w:tcW w:w="1134" w:type="dxa"/>
          </w:tcPr>
          <w:p w14:paraId="4F377808" w14:textId="6FAC1F4F" w:rsidR="000431CC" w:rsidRPr="00A54867" w:rsidRDefault="00897C1F" w:rsidP="00A548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77" w:type="dxa"/>
          </w:tcPr>
          <w:p w14:paraId="69B5D154" w14:textId="49865134" w:rsidR="000431CC" w:rsidRPr="00A54867" w:rsidRDefault="00897C1F" w:rsidP="00A548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906" w:type="dxa"/>
          </w:tcPr>
          <w:p w14:paraId="633B035B" w14:textId="37A25579" w:rsidR="000431CC" w:rsidRPr="00B32704" w:rsidRDefault="000431CC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B32704">
              <w:rPr>
                <w:color w:val="808080" w:themeColor="background1" w:themeShade="80"/>
                <w:sz w:val="20"/>
                <w:szCs w:val="20"/>
              </w:rPr>
              <w:t>100%</w:t>
            </w:r>
          </w:p>
        </w:tc>
        <w:tc>
          <w:tcPr>
            <w:tcW w:w="906" w:type="dxa"/>
          </w:tcPr>
          <w:p w14:paraId="69FC9FA9" w14:textId="77777777" w:rsidR="000431CC" w:rsidRPr="00B32704" w:rsidRDefault="000431CC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B32704">
              <w:rPr>
                <w:color w:val="808080" w:themeColor="background1" w:themeShade="80"/>
                <w:sz w:val="20"/>
                <w:szCs w:val="20"/>
              </w:rPr>
              <w:t>772</w:t>
            </w:r>
          </w:p>
        </w:tc>
        <w:tc>
          <w:tcPr>
            <w:tcW w:w="906" w:type="dxa"/>
          </w:tcPr>
          <w:p w14:paraId="1B85FBED" w14:textId="77777777" w:rsidR="000431CC" w:rsidRPr="00A54867" w:rsidRDefault="000431CC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A54867">
              <w:rPr>
                <w:color w:val="808080" w:themeColor="background1" w:themeShade="80"/>
                <w:sz w:val="20"/>
                <w:szCs w:val="20"/>
              </w:rPr>
              <w:t>100%</w:t>
            </w:r>
          </w:p>
        </w:tc>
        <w:tc>
          <w:tcPr>
            <w:tcW w:w="906" w:type="dxa"/>
            <w:shd w:val="clear" w:color="auto" w:fill="FFFFFF" w:themeFill="background1"/>
          </w:tcPr>
          <w:p w14:paraId="7E1E6B4A" w14:textId="47291E6B" w:rsidR="000431CC" w:rsidRPr="00A54867" w:rsidRDefault="000431CC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A54867">
              <w:rPr>
                <w:color w:val="808080" w:themeColor="background1" w:themeShade="80"/>
                <w:sz w:val="20"/>
                <w:szCs w:val="20"/>
              </w:rPr>
              <w:t>1,063</w:t>
            </w:r>
          </w:p>
        </w:tc>
      </w:tr>
    </w:tbl>
    <w:p w14:paraId="576EAC7A" w14:textId="77777777" w:rsidR="00A776AF" w:rsidRDefault="00A776AF" w:rsidP="0012092B">
      <w:pPr>
        <w:spacing w:after="0" w:line="240" w:lineRule="auto"/>
        <w:rPr>
          <w:sz w:val="18"/>
          <w:szCs w:val="16"/>
        </w:rPr>
      </w:pPr>
    </w:p>
    <w:p w14:paraId="46297BB8" w14:textId="3229CE4D" w:rsidR="00E20D30" w:rsidRDefault="00E20D30" w:rsidP="00E20D30">
      <w:r>
        <w:t>In 20</w:t>
      </w:r>
      <w:r w:rsidR="00721E8A">
        <w:t>2</w:t>
      </w:r>
      <w:r w:rsidR="002A217B">
        <w:t>1</w:t>
      </w:r>
      <w:r>
        <w:t>:</w:t>
      </w:r>
    </w:p>
    <w:p w14:paraId="407C104B" w14:textId="693B7627" w:rsidR="00E20D30" w:rsidRPr="000C6E59" w:rsidRDefault="00E20D30" w:rsidP="00E20D30">
      <w:pPr>
        <w:pStyle w:val="ListParagraph"/>
        <w:numPr>
          <w:ilvl w:val="0"/>
          <w:numId w:val="1"/>
        </w:numPr>
      </w:pPr>
      <w:r w:rsidRPr="000C6E59">
        <w:t xml:space="preserve">The mean </w:t>
      </w:r>
      <w:r w:rsidR="00D90B49" w:rsidRPr="000C6E59">
        <w:t>ethnic</w:t>
      </w:r>
      <w:r w:rsidRPr="000C6E59">
        <w:t xml:space="preserve"> pay gap is </w:t>
      </w:r>
      <w:r w:rsidR="009716EA">
        <w:t>10.1</w:t>
      </w:r>
      <w:r w:rsidR="0049181C" w:rsidRPr="000C6E59">
        <w:t xml:space="preserve">% </w:t>
      </w:r>
    </w:p>
    <w:p w14:paraId="7289EDE7" w14:textId="5B2A6E81" w:rsidR="00E20D30" w:rsidRPr="000C6E59" w:rsidRDefault="00E20D30" w:rsidP="007F037E">
      <w:pPr>
        <w:pStyle w:val="ListParagraph"/>
        <w:numPr>
          <w:ilvl w:val="0"/>
          <w:numId w:val="1"/>
        </w:numPr>
      </w:pPr>
      <w:r w:rsidRPr="000C6E59">
        <w:t xml:space="preserve">The median </w:t>
      </w:r>
      <w:r w:rsidR="00D90B49" w:rsidRPr="000C6E59">
        <w:t>ethnic</w:t>
      </w:r>
      <w:r w:rsidRPr="000C6E59">
        <w:t xml:space="preserve"> pay gap is</w:t>
      </w:r>
      <w:r w:rsidR="0049181C" w:rsidRPr="000C6E59">
        <w:t xml:space="preserve"> </w:t>
      </w:r>
      <w:r w:rsidR="009716EA">
        <w:t>11.7</w:t>
      </w:r>
      <w:r w:rsidR="0049181C" w:rsidRPr="000C6E59">
        <w:t xml:space="preserve">% </w:t>
      </w:r>
    </w:p>
    <w:p w14:paraId="30789CE6" w14:textId="77777777" w:rsidR="0049181C" w:rsidRDefault="0049181C" w:rsidP="0049181C">
      <w:pPr>
        <w:pStyle w:val="ListParagraph"/>
      </w:pPr>
    </w:p>
    <w:p w14:paraId="1E27DF46" w14:textId="3840E766" w:rsidR="00E20D30" w:rsidRPr="009D62F0" w:rsidRDefault="00E20D30" w:rsidP="00E20D30">
      <w:pPr>
        <w:pStyle w:val="ListParagraph"/>
        <w:ind w:left="0"/>
        <w:rPr>
          <w:i/>
          <w:sz w:val="20"/>
        </w:rPr>
      </w:pPr>
      <w:r w:rsidRPr="009D62F0">
        <w:rPr>
          <w:i/>
          <w:sz w:val="20"/>
        </w:rPr>
        <w:t xml:space="preserve">Table 2 – mean and median pay gap </w:t>
      </w:r>
      <w:r w:rsidR="0059340C">
        <w:rPr>
          <w:i/>
          <w:sz w:val="20"/>
        </w:rPr>
        <w:t xml:space="preserve">with hourly rates over </w:t>
      </w:r>
      <w:r w:rsidR="009716EA">
        <w:rPr>
          <w:i/>
          <w:sz w:val="20"/>
        </w:rPr>
        <w:t>3</w:t>
      </w:r>
      <w:r w:rsidR="0059340C">
        <w:rPr>
          <w:i/>
          <w:sz w:val="20"/>
        </w:rPr>
        <w:t xml:space="preserve"> years</w:t>
      </w:r>
    </w:p>
    <w:tbl>
      <w:tblPr>
        <w:tblStyle w:val="TableGrid"/>
        <w:tblW w:w="7508" w:type="dxa"/>
        <w:jc w:val="center"/>
        <w:tblLook w:val="04A0" w:firstRow="1" w:lastRow="0" w:firstColumn="1" w:lastColumn="0" w:noHBand="0" w:noVBand="1"/>
      </w:tblPr>
      <w:tblGrid>
        <w:gridCol w:w="1555"/>
        <w:gridCol w:w="1011"/>
        <w:gridCol w:w="973"/>
        <w:gridCol w:w="969"/>
        <w:gridCol w:w="1091"/>
        <w:gridCol w:w="917"/>
        <w:gridCol w:w="992"/>
      </w:tblGrid>
      <w:tr w:rsidR="005C428E" w14:paraId="05A7D2F4" w14:textId="77777777" w:rsidTr="00A07F7F">
        <w:trPr>
          <w:jc w:val="center"/>
        </w:trPr>
        <w:tc>
          <w:tcPr>
            <w:tcW w:w="1555" w:type="dxa"/>
            <w:vMerge w:val="restart"/>
            <w:shd w:val="clear" w:color="auto" w:fill="FFFFFF" w:themeFill="background1"/>
          </w:tcPr>
          <w:p w14:paraId="2B205B39" w14:textId="77777777" w:rsidR="005C428E" w:rsidRDefault="005C428E" w:rsidP="007F037E"/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51D41148" w14:textId="4C1EDC4A" w:rsidR="005C428E" w:rsidRPr="00B32704" w:rsidRDefault="005C428E" w:rsidP="00A54867">
            <w:pPr>
              <w:jc w:val="center"/>
              <w:rPr>
                <w:sz w:val="20"/>
                <w:szCs w:val="20"/>
              </w:rPr>
            </w:pPr>
            <w:r w:rsidRPr="00B32704">
              <w:rPr>
                <w:sz w:val="20"/>
                <w:szCs w:val="20"/>
              </w:rPr>
              <w:t>2021</w:t>
            </w:r>
          </w:p>
        </w:tc>
        <w:tc>
          <w:tcPr>
            <w:tcW w:w="2060" w:type="dxa"/>
            <w:gridSpan w:val="2"/>
            <w:shd w:val="clear" w:color="auto" w:fill="EEECE1" w:themeFill="background2"/>
          </w:tcPr>
          <w:p w14:paraId="3F36A2FF" w14:textId="0F2321CB" w:rsidR="005C428E" w:rsidRPr="00A63140" w:rsidRDefault="005C428E" w:rsidP="00A54867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2020</w:t>
            </w:r>
          </w:p>
        </w:tc>
        <w:tc>
          <w:tcPr>
            <w:tcW w:w="1909" w:type="dxa"/>
            <w:gridSpan w:val="2"/>
            <w:shd w:val="clear" w:color="auto" w:fill="EEECE1" w:themeFill="background2"/>
          </w:tcPr>
          <w:p w14:paraId="6329E2EB" w14:textId="23CA7BFE" w:rsidR="005C428E" w:rsidRPr="00A63140" w:rsidRDefault="005C428E" w:rsidP="00A54867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2019</w:t>
            </w:r>
          </w:p>
        </w:tc>
      </w:tr>
      <w:tr w:rsidR="005C428E" w14:paraId="171EA15E" w14:textId="77777777" w:rsidTr="00A07F7F">
        <w:trPr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14:paraId="7AAD5159" w14:textId="77777777" w:rsidR="005C428E" w:rsidRDefault="005C428E" w:rsidP="007F037E"/>
        </w:tc>
        <w:tc>
          <w:tcPr>
            <w:tcW w:w="1011" w:type="dxa"/>
            <w:shd w:val="clear" w:color="auto" w:fill="DDD9C3" w:themeFill="background2" w:themeFillShade="E6"/>
          </w:tcPr>
          <w:p w14:paraId="0CD87669" w14:textId="18D19503" w:rsidR="005C428E" w:rsidRPr="00B32704" w:rsidRDefault="005C428E" w:rsidP="00BC130E">
            <w:pPr>
              <w:jc w:val="center"/>
              <w:rPr>
                <w:sz w:val="20"/>
                <w:szCs w:val="20"/>
              </w:rPr>
            </w:pPr>
            <w:r w:rsidRPr="00B32704">
              <w:rPr>
                <w:sz w:val="20"/>
                <w:szCs w:val="20"/>
              </w:rPr>
              <w:t>Pay gap</w:t>
            </w:r>
          </w:p>
        </w:tc>
        <w:tc>
          <w:tcPr>
            <w:tcW w:w="973" w:type="dxa"/>
            <w:shd w:val="clear" w:color="auto" w:fill="DDD9C3" w:themeFill="background2" w:themeFillShade="E6"/>
          </w:tcPr>
          <w:p w14:paraId="1811FC8D" w14:textId="77777777" w:rsidR="005C428E" w:rsidRPr="00B32704" w:rsidRDefault="005C428E" w:rsidP="00BC130E">
            <w:pPr>
              <w:jc w:val="center"/>
              <w:rPr>
                <w:sz w:val="20"/>
                <w:szCs w:val="20"/>
              </w:rPr>
            </w:pPr>
            <w:r w:rsidRPr="00B32704">
              <w:rPr>
                <w:sz w:val="20"/>
                <w:szCs w:val="20"/>
              </w:rPr>
              <w:t xml:space="preserve">Hourly </w:t>
            </w:r>
          </w:p>
          <w:p w14:paraId="00CE920D" w14:textId="3C6DC96F" w:rsidR="005C428E" w:rsidRPr="00B32704" w:rsidRDefault="005C428E" w:rsidP="00BC130E">
            <w:pPr>
              <w:jc w:val="center"/>
              <w:rPr>
                <w:sz w:val="20"/>
                <w:szCs w:val="20"/>
              </w:rPr>
            </w:pPr>
            <w:r w:rsidRPr="00B32704">
              <w:rPr>
                <w:sz w:val="20"/>
                <w:szCs w:val="20"/>
              </w:rPr>
              <w:t>Pay</w:t>
            </w:r>
          </w:p>
        </w:tc>
        <w:tc>
          <w:tcPr>
            <w:tcW w:w="969" w:type="dxa"/>
            <w:shd w:val="clear" w:color="auto" w:fill="EEECE1" w:themeFill="background2"/>
          </w:tcPr>
          <w:p w14:paraId="13552524" w14:textId="7318284A" w:rsidR="005C428E" w:rsidRPr="00A63140" w:rsidRDefault="005C428E" w:rsidP="00BC130E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Pay gap</w:t>
            </w:r>
          </w:p>
        </w:tc>
        <w:tc>
          <w:tcPr>
            <w:tcW w:w="1091" w:type="dxa"/>
            <w:shd w:val="clear" w:color="auto" w:fill="EEECE1" w:themeFill="background2"/>
          </w:tcPr>
          <w:p w14:paraId="79CC6937" w14:textId="484FB6C8" w:rsidR="005C428E" w:rsidRPr="00A63140" w:rsidRDefault="005C428E" w:rsidP="00BC130E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Hourly pay</w:t>
            </w:r>
          </w:p>
        </w:tc>
        <w:tc>
          <w:tcPr>
            <w:tcW w:w="917" w:type="dxa"/>
            <w:shd w:val="clear" w:color="auto" w:fill="EEECE1" w:themeFill="background2"/>
          </w:tcPr>
          <w:p w14:paraId="7CA0C132" w14:textId="77777777" w:rsidR="005C428E" w:rsidRPr="00A63140" w:rsidRDefault="005C428E" w:rsidP="00BC130E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Pay gap</w:t>
            </w:r>
          </w:p>
          <w:p w14:paraId="3E208FE7" w14:textId="77777777" w:rsidR="005C428E" w:rsidRPr="00A63140" w:rsidRDefault="005C428E" w:rsidP="00BC130E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09356627" w14:textId="3523F3A5" w:rsidR="005C428E" w:rsidRPr="00A63140" w:rsidRDefault="005C428E" w:rsidP="00BC130E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Hourly pay</w:t>
            </w:r>
          </w:p>
        </w:tc>
      </w:tr>
      <w:tr w:rsidR="004C3A53" w14:paraId="2FDF1E36" w14:textId="77777777" w:rsidTr="00B32704">
        <w:trPr>
          <w:jc w:val="center"/>
        </w:trPr>
        <w:tc>
          <w:tcPr>
            <w:tcW w:w="1555" w:type="dxa"/>
          </w:tcPr>
          <w:p w14:paraId="0D215E01" w14:textId="77777777" w:rsidR="004C3A53" w:rsidRPr="005C428E" w:rsidRDefault="004C3A53" w:rsidP="007F037E">
            <w:pPr>
              <w:rPr>
                <w:sz w:val="20"/>
                <w:szCs w:val="20"/>
              </w:rPr>
            </w:pPr>
            <w:r w:rsidRPr="005C428E">
              <w:rPr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1011" w:type="dxa"/>
          </w:tcPr>
          <w:p w14:paraId="566B1EA3" w14:textId="55ABEAC5" w:rsidR="004C3A53" w:rsidRPr="005C428E" w:rsidRDefault="007A75BF" w:rsidP="00A54867">
            <w:pPr>
              <w:jc w:val="right"/>
              <w:rPr>
                <w:b/>
                <w:bCs/>
                <w:sz w:val="20"/>
                <w:szCs w:val="20"/>
              </w:rPr>
            </w:pPr>
            <w:r w:rsidRPr="005C428E">
              <w:rPr>
                <w:b/>
                <w:bCs/>
                <w:sz w:val="20"/>
                <w:szCs w:val="20"/>
              </w:rPr>
              <w:t>10.1%</w:t>
            </w:r>
          </w:p>
        </w:tc>
        <w:tc>
          <w:tcPr>
            <w:tcW w:w="973" w:type="dxa"/>
          </w:tcPr>
          <w:p w14:paraId="6C7933CD" w14:textId="536B4CB8" w:rsidR="004C3A53" w:rsidRPr="005C428E" w:rsidRDefault="004C3A53" w:rsidP="00A5486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14:paraId="54201172" w14:textId="1E097925" w:rsidR="004C3A53" w:rsidRPr="00A63140" w:rsidRDefault="004C3A53" w:rsidP="00A54867">
            <w:pPr>
              <w:jc w:val="right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b/>
                <w:bCs/>
                <w:color w:val="808080" w:themeColor="background1" w:themeShade="80"/>
                <w:sz w:val="20"/>
                <w:szCs w:val="20"/>
              </w:rPr>
              <w:t>4.1%</w:t>
            </w:r>
          </w:p>
        </w:tc>
        <w:tc>
          <w:tcPr>
            <w:tcW w:w="1091" w:type="dxa"/>
          </w:tcPr>
          <w:p w14:paraId="6D4A2E62" w14:textId="77777777" w:rsidR="004C3A53" w:rsidRPr="00A63140" w:rsidRDefault="004C3A53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17" w:type="dxa"/>
          </w:tcPr>
          <w:p w14:paraId="51E25BFD" w14:textId="77777777" w:rsidR="004C3A53" w:rsidRPr="00A63140" w:rsidRDefault="004C3A53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0.7%</w:t>
            </w:r>
          </w:p>
        </w:tc>
        <w:tc>
          <w:tcPr>
            <w:tcW w:w="992" w:type="dxa"/>
          </w:tcPr>
          <w:p w14:paraId="73EFD272" w14:textId="77777777" w:rsidR="004C3A53" w:rsidRPr="00A63140" w:rsidRDefault="004C3A53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C3A53" w14:paraId="1450241D" w14:textId="77777777" w:rsidTr="00B32704">
        <w:trPr>
          <w:jc w:val="center"/>
        </w:trPr>
        <w:tc>
          <w:tcPr>
            <w:tcW w:w="1555" w:type="dxa"/>
          </w:tcPr>
          <w:p w14:paraId="1D96D848" w14:textId="77777777" w:rsidR="004C3A53" w:rsidRPr="005C428E" w:rsidRDefault="004C3A53" w:rsidP="007F037E">
            <w:pPr>
              <w:rPr>
                <w:sz w:val="20"/>
                <w:szCs w:val="20"/>
              </w:rPr>
            </w:pPr>
            <w:r w:rsidRPr="005C428E">
              <w:rPr>
                <w:sz w:val="20"/>
                <w:szCs w:val="20"/>
              </w:rPr>
              <w:t>Mean White</w:t>
            </w:r>
          </w:p>
        </w:tc>
        <w:tc>
          <w:tcPr>
            <w:tcW w:w="1011" w:type="dxa"/>
          </w:tcPr>
          <w:p w14:paraId="29AB4DB0" w14:textId="77777777" w:rsidR="004C3A53" w:rsidRPr="005C428E" w:rsidRDefault="004C3A53" w:rsidP="00A5486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</w:tcPr>
          <w:p w14:paraId="0983A5D7" w14:textId="74F2FD01" w:rsidR="004C3A53" w:rsidRPr="005C428E" w:rsidRDefault="002832D6" w:rsidP="00A54867">
            <w:pPr>
              <w:jc w:val="right"/>
              <w:rPr>
                <w:sz w:val="20"/>
                <w:szCs w:val="20"/>
              </w:rPr>
            </w:pPr>
            <w:r w:rsidRPr="005C428E">
              <w:rPr>
                <w:sz w:val="20"/>
                <w:szCs w:val="20"/>
              </w:rPr>
              <w:t>£</w:t>
            </w:r>
            <w:r w:rsidR="00576C47" w:rsidRPr="005C428E">
              <w:rPr>
                <w:sz w:val="20"/>
                <w:szCs w:val="20"/>
              </w:rPr>
              <w:t>18.42</w:t>
            </w:r>
          </w:p>
        </w:tc>
        <w:tc>
          <w:tcPr>
            <w:tcW w:w="969" w:type="dxa"/>
          </w:tcPr>
          <w:p w14:paraId="3EF413C1" w14:textId="2EDDAEB2" w:rsidR="004C3A53" w:rsidRPr="00A63140" w:rsidRDefault="004C3A53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1" w:type="dxa"/>
          </w:tcPr>
          <w:p w14:paraId="34A6A589" w14:textId="77777777" w:rsidR="004C3A53" w:rsidRPr="00A63140" w:rsidRDefault="004C3A53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£18.11</w:t>
            </w:r>
          </w:p>
        </w:tc>
        <w:tc>
          <w:tcPr>
            <w:tcW w:w="917" w:type="dxa"/>
          </w:tcPr>
          <w:p w14:paraId="78294B1D" w14:textId="77777777" w:rsidR="004C3A53" w:rsidRPr="00A63140" w:rsidRDefault="004C3A53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338946" w14:textId="77777777" w:rsidR="004C3A53" w:rsidRPr="00A63140" w:rsidRDefault="004C3A53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£17.45</w:t>
            </w:r>
          </w:p>
        </w:tc>
      </w:tr>
      <w:tr w:rsidR="004C3A53" w14:paraId="539D57D2" w14:textId="77777777" w:rsidTr="00B32704">
        <w:trPr>
          <w:jc w:val="center"/>
        </w:trPr>
        <w:tc>
          <w:tcPr>
            <w:tcW w:w="1555" w:type="dxa"/>
          </w:tcPr>
          <w:p w14:paraId="618636F0" w14:textId="77777777" w:rsidR="004C3A53" w:rsidRPr="005C428E" w:rsidRDefault="004C3A53" w:rsidP="007F037E">
            <w:pPr>
              <w:rPr>
                <w:sz w:val="20"/>
                <w:szCs w:val="20"/>
              </w:rPr>
            </w:pPr>
            <w:r w:rsidRPr="005C428E">
              <w:rPr>
                <w:sz w:val="20"/>
                <w:szCs w:val="20"/>
              </w:rPr>
              <w:t>Mean BAME</w:t>
            </w:r>
          </w:p>
        </w:tc>
        <w:tc>
          <w:tcPr>
            <w:tcW w:w="1011" w:type="dxa"/>
          </w:tcPr>
          <w:p w14:paraId="2ED8E540" w14:textId="77777777" w:rsidR="004C3A53" w:rsidRPr="005C428E" w:rsidRDefault="004C3A53" w:rsidP="00A5486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</w:tcPr>
          <w:p w14:paraId="794A9DED" w14:textId="775D2BDC" w:rsidR="004C3A53" w:rsidRPr="005C428E" w:rsidRDefault="00BA0FC7" w:rsidP="00A54867">
            <w:pPr>
              <w:jc w:val="right"/>
              <w:rPr>
                <w:sz w:val="20"/>
                <w:szCs w:val="20"/>
              </w:rPr>
            </w:pPr>
            <w:r w:rsidRPr="005C428E">
              <w:rPr>
                <w:sz w:val="20"/>
                <w:szCs w:val="20"/>
              </w:rPr>
              <w:t>£16.56</w:t>
            </w:r>
          </w:p>
        </w:tc>
        <w:tc>
          <w:tcPr>
            <w:tcW w:w="969" w:type="dxa"/>
          </w:tcPr>
          <w:p w14:paraId="74F67D2F" w14:textId="35AAECC9" w:rsidR="004C3A53" w:rsidRPr="00A63140" w:rsidRDefault="004C3A53" w:rsidP="00A54867">
            <w:pPr>
              <w:jc w:val="right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1" w:type="dxa"/>
          </w:tcPr>
          <w:p w14:paraId="2F2D78C6" w14:textId="77777777" w:rsidR="004C3A53" w:rsidRPr="00A63140" w:rsidRDefault="004C3A53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£17.37</w:t>
            </w:r>
          </w:p>
        </w:tc>
        <w:tc>
          <w:tcPr>
            <w:tcW w:w="917" w:type="dxa"/>
          </w:tcPr>
          <w:p w14:paraId="7E7F11C7" w14:textId="77777777" w:rsidR="004C3A53" w:rsidRPr="00A63140" w:rsidRDefault="004C3A53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D9F4EE" w14:textId="77777777" w:rsidR="004C3A53" w:rsidRPr="00A63140" w:rsidRDefault="004C3A53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£17.33</w:t>
            </w:r>
          </w:p>
        </w:tc>
      </w:tr>
      <w:tr w:rsidR="004C3A53" w14:paraId="63B2573F" w14:textId="77777777" w:rsidTr="00B32704">
        <w:trPr>
          <w:jc w:val="center"/>
        </w:trPr>
        <w:tc>
          <w:tcPr>
            <w:tcW w:w="1555" w:type="dxa"/>
          </w:tcPr>
          <w:p w14:paraId="563EF824" w14:textId="77777777" w:rsidR="004C3A53" w:rsidRPr="005C428E" w:rsidRDefault="004C3A53" w:rsidP="007F037E">
            <w:pPr>
              <w:rPr>
                <w:b/>
                <w:bCs/>
                <w:sz w:val="20"/>
                <w:szCs w:val="20"/>
              </w:rPr>
            </w:pPr>
            <w:r w:rsidRPr="005C428E">
              <w:rPr>
                <w:b/>
                <w:bCs/>
                <w:sz w:val="20"/>
                <w:szCs w:val="20"/>
              </w:rPr>
              <w:t>Median</w:t>
            </w:r>
          </w:p>
        </w:tc>
        <w:tc>
          <w:tcPr>
            <w:tcW w:w="1011" w:type="dxa"/>
          </w:tcPr>
          <w:p w14:paraId="3529C5A5" w14:textId="39837EEE" w:rsidR="004C3A53" w:rsidRPr="005C428E" w:rsidRDefault="00D50FDD" w:rsidP="00A54867">
            <w:pPr>
              <w:jc w:val="right"/>
              <w:rPr>
                <w:b/>
                <w:bCs/>
                <w:sz w:val="20"/>
                <w:szCs w:val="20"/>
              </w:rPr>
            </w:pPr>
            <w:r w:rsidRPr="005C428E">
              <w:rPr>
                <w:b/>
                <w:bCs/>
                <w:sz w:val="20"/>
                <w:szCs w:val="20"/>
              </w:rPr>
              <w:t>11.7%</w:t>
            </w:r>
          </w:p>
        </w:tc>
        <w:tc>
          <w:tcPr>
            <w:tcW w:w="973" w:type="dxa"/>
          </w:tcPr>
          <w:p w14:paraId="72550B64" w14:textId="4B52739A" w:rsidR="004C3A53" w:rsidRPr="005C428E" w:rsidRDefault="004C3A53" w:rsidP="00A5486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14:paraId="48C269A6" w14:textId="020AC5DB" w:rsidR="004C3A53" w:rsidRPr="00A63140" w:rsidRDefault="004C3A53" w:rsidP="00A54867">
            <w:pPr>
              <w:jc w:val="right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b/>
                <w:bCs/>
                <w:color w:val="808080" w:themeColor="background1" w:themeShade="80"/>
                <w:sz w:val="20"/>
                <w:szCs w:val="20"/>
              </w:rPr>
              <w:t>2.4%</w:t>
            </w:r>
          </w:p>
        </w:tc>
        <w:tc>
          <w:tcPr>
            <w:tcW w:w="1091" w:type="dxa"/>
          </w:tcPr>
          <w:p w14:paraId="655BE6B6" w14:textId="77777777" w:rsidR="004C3A53" w:rsidRPr="00A63140" w:rsidRDefault="004C3A53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17" w:type="dxa"/>
          </w:tcPr>
          <w:p w14:paraId="11AEB30E" w14:textId="77777777" w:rsidR="004C3A53" w:rsidRPr="00A63140" w:rsidRDefault="004C3A53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-8.1%</w:t>
            </w:r>
          </w:p>
        </w:tc>
        <w:tc>
          <w:tcPr>
            <w:tcW w:w="992" w:type="dxa"/>
          </w:tcPr>
          <w:p w14:paraId="7617D8E1" w14:textId="77777777" w:rsidR="004C3A53" w:rsidRPr="00A63140" w:rsidRDefault="004C3A53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C3A53" w14:paraId="0D9384AB" w14:textId="77777777" w:rsidTr="00B32704">
        <w:trPr>
          <w:jc w:val="center"/>
        </w:trPr>
        <w:tc>
          <w:tcPr>
            <w:tcW w:w="1555" w:type="dxa"/>
          </w:tcPr>
          <w:p w14:paraId="4BC9FBAE" w14:textId="77777777" w:rsidR="004C3A53" w:rsidRPr="005C428E" w:rsidRDefault="004C3A53" w:rsidP="007F037E">
            <w:pPr>
              <w:rPr>
                <w:sz w:val="20"/>
                <w:szCs w:val="20"/>
              </w:rPr>
            </w:pPr>
            <w:r w:rsidRPr="005C428E">
              <w:rPr>
                <w:sz w:val="20"/>
                <w:szCs w:val="20"/>
              </w:rPr>
              <w:t>Median White</w:t>
            </w:r>
          </w:p>
        </w:tc>
        <w:tc>
          <w:tcPr>
            <w:tcW w:w="1011" w:type="dxa"/>
          </w:tcPr>
          <w:p w14:paraId="781B0FD1" w14:textId="77777777" w:rsidR="004C3A53" w:rsidRPr="005C428E" w:rsidRDefault="004C3A53" w:rsidP="00A54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14:paraId="50C8DAF9" w14:textId="4AE48130" w:rsidR="004C3A53" w:rsidRPr="005C428E" w:rsidRDefault="00D45997" w:rsidP="00A54867">
            <w:pPr>
              <w:jc w:val="right"/>
              <w:rPr>
                <w:sz w:val="20"/>
                <w:szCs w:val="20"/>
              </w:rPr>
            </w:pPr>
            <w:r w:rsidRPr="005C428E">
              <w:rPr>
                <w:sz w:val="20"/>
                <w:szCs w:val="20"/>
              </w:rPr>
              <w:t>£</w:t>
            </w:r>
            <w:r w:rsidR="00AE460E" w:rsidRPr="005C428E">
              <w:rPr>
                <w:sz w:val="20"/>
                <w:szCs w:val="20"/>
              </w:rPr>
              <w:t>19.49</w:t>
            </w:r>
          </w:p>
        </w:tc>
        <w:tc>
          <w:tcPr>
            <w:tcW w:w="969" w:type="dxa"/>
          </w:tcPr>
          <w:p w14:paraId="1EC91C5A" w14:textId="4F998D26" w:rsidR="004C3A53" w:rsidRPr="00A63140" w:rsidRDefault="004C3A53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1" w:type="dxa"/>
          </w:tcPr>
          <w:p w14:paraId="24516FE1" w14:textId="77777777" w:rsidR="004C3A53" w:rsidRPr="00A63140" w:rsidRDefault="004C3A53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£18.85</w:t>
            </w:r>
          </w:p>
        </w:tc>
        <w:tc>
          <w:tcPr>
            <w:tcW w:w="917" w:type="dxa"/>
          </w:tcPr>
          <w:p w14:paraId="633DD3A4" w14:textId="77777777" w:rsidR="004C3A53" w:rsidRPr="00A63140" w:rsidRDefault="004C3A53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5ED30AA" w14:textId="77777777" w:rsidR="004C3A53" w:rsidRPr="00A63140" w:rsidRDefault="004C3A53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£17.21</w:t>
            </w:r>
          </w:p>
        </w:tc>
      </w:tr>
      <w:tr w:rsidR="004C3A53" w14:paraId="3989F427" w14:textId="77777777" w:rsidTr="00B32704">
        <w:trPr>
          <w:jc w:val="center"/>
        </w:trPr>
        <w:tc>
          <w:tcPr>
            <w:tcW w:w="1555" w:type="dxa"/>
          </w:tcPr>
          <w:p w14:paraId="6F555621" w14:textId="77777777" w:rsidR="004C3A53" w:rsidRPr="005C428E" w:rsidRDefault="004C3A53" w:rsidP="007F037E">
            <w:pPr>
              <w:rPr>
                <w:sz w:val="20"/>
                <w:szCs w:val="20"/>
              </w:rPr>
            </w:pPr>
            <w:r w:rsidRPr="005C428E">
              <w:rPr>
                <w:sz w:val="20"/>
                <w:szCs w:val="20"/>
              </w:rPr>
              <w:t>Median BAME</w:t>
            </w:r>
          </w:p>
        </w:tc>
        <w:tc>
          <w:tcPr>
            <w:tcW w:w="1011" w:type="dxa"/>
          </w:tcPr>
          <w:p w14:paraId="169C713D" w14:textId="77777777" w:rsidR="004C3A53" w:rsidRPr="005C428E" w:rsidRDefault="004C3A53" w:rsidP="00A54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14:paraId="71B5F05D" w14:textId="54A14698" w:rsidR="004C3A53" w:rsidRPr="005C428E" w:rsidRDefault="004B7EDE" w:rsidP="00A54867">
            <w:pPr>
              <w:jc w:val="right"/>
              <w:rPr>
                <w:sz w:val="20"/>
                <w:szCs w:val="20"/>
              </w:rPr>
            </w:pPr>
            <w:r w:rsidRPr="005C428E">
              <w:rPr>
                <w:sz w:val="20"/>
                <w:szCs w:val="20"/>
              </w:rPr>
              <w:t>£17.21</w:t>
            </w:r>
          </w:p>
        </w:tc>
        <w:tc>
          <w:tcPr>
            <w:tcW w:w="969" w:type="dxa"/>
          </w:tcPr>
          <w:p w14:paraId="37D6312A" w14:textId="6A8E573F" w:rsidR="004C3A53" w:rsidRPr="00A63140" w:rsidRDefault="004C3A53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1" w:type="dxa"/>
          </w:tcPr>
          <w:p w14:paraId="2F28F7CB" w14:textId="77777777" w:rsidR="004C3A53" w:rsidRPr="00A63140" w:rsidRDefault="004C3A53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£18.40</w:t>
            </w:r>
          </w:p>
        </w:tc>
        <w:tc>
          <w:tcPr>
            <w:tcW w:w="917" w:type="dxa"/>
          </w:tcPr>
          <w:p w14:paraId="51B6F0ED" w14:textId="77777777" w:rsidR="004C3A53" w:rsidRPr="00A63140" w:rsidRDefault="004C3A53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458731" w14:textId="77777777" w:rsidR="004C3A53" w:rsidRPr="00A63140" w:rsidRDefault="004C3A53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£18.61</w:t>
            </w:r>
          </w:p>
        </w:tc>
      </w:tr>
    </w:tbl>
    <w:p w14:paraId="7C684F1C" w14:textId="77777777" w:rsidR="00940E25" w:rsidRDefault="00940E25" w:rsidP="00940E25">
      <w:pPr>
        <w:pStyle w:val="ListParagraph"/>
        <w:rPr>
          <w:color w:val="FF0000"/>
        </w:rPr>
      </w:pPr>
    </w:p>
    <w:p w14:paraId="48AFE84C" w14:textId="77777777" w:rsidR="00002C14" w:rsidRDefault="00002C14" w:rsidP="00002C14">
      <w:pPr>
        <w:pStyle w:val="ListParagraph"/>
        <w:pBdr>
          <w:bottom w:val="single" w:sz="4" w:space="1" w:color="auto"/>
        </w:pBdr>
        <w:ind w:left="0"/>
        <w:rPr>
          <w:rFonts w:cs="KFEYB M+ News Gothic BT"/>
          <w:b/>
          <w:bCs/>
          <w:sz w:val="20"/>
        </w:rPr>
      </w:pPr>
    </w:p>
    <w:p w14:paraId="1F6F80A8" w14:textId="77777777" w:rsidR="00002C14" w:rsidRDefault="00002C14" w:rsidP="00002C14">
      <w:pPr>
        <w:pStyle w:val="ListParagraph"/>
        <w:ind w:left="0"/>
        <w:rPr>
          <w:rFonts w:cs="KFEYB M+ News Gothic BT"/>
          <w:b/>
          <w:bCs/>
          <w:sz w:val="20"/>
        </w:rPr>
      </w:pPr>
    </w:p>
    <w:p w14:paraId="13A766BB" w14:textId="30171B02" w:rsidR="0012092B" w:rsidRDefault="00002C14" w:rsidP="00002C14">
      <w:pPr>
        <w:pStyle w:val="ListParagraph"/>
        <w:ind w:left="0"/>
        <w:rPr>
          <w:rFonts w:cs="KFEYB M+ News Gothic BT"/>
          <w:color w:val="696666"/>
          <w:sz w:val="20"/>
        </w:rPr>
      </w:pPr>
      <w:r w:rsidRPr="00A53AE6">
        <w:rPr>
          <w:rFonts w:cs="KFEYB M+ News Gothic BT"/>
          <w:b/>
          <w:bCs/>
          <w:sz w:val="20"/>
        </w:rPr>
        <w:t>4</w:t>
      </w:r>
      <w:r w:rsidRPr="00A53AE6">
        <w:rPr>
          <w:rFonts w:cs="KFEYB M+ News Gothic BT"/>
          <w:b/>
          <w:bCs/>
          <w:color w:val="808284"/>
          <w:sz w:val="20"/>
        </w:rPr>
        <w:t xml:space="preserve"> </w:t>
      </w:r>
      <w:r w:rsidRPr="00A53AE6">
        <w:rPr>
          <w:rFonts w:cs="KFEYB M+ News Gothic BT"/>
          <w:color w:val="696666"/>
          <w:sz w:val="20"/>
        </w:rPr>
        <w:t>The figures have been calculated using the standard methodologies</w:t>
      </w:r>
      <w:r>
        <w:rPr>
          <w:rFonts w:cs="KFEYB M+ News Gothic BT"/>
          <w:color w:val="696666"/>
          <w:sz w:val="20"/>
        </w:rPr>
        <w:t xml:space="preserve"> for gender pay gap reporting</w:t>
      </w:r>
      <w:r w:rsidRPr="00A53AE6">
        <w:rPr>
          <w:rFonts w:cs="KFEYB M+ News Gothic BT"/>
          <w:color w:val="696666"/>
          <w:sz w:val="20"/>
        </w:rPr>
        <w:t xml:space="preserve"> specified in the Equality Act 2010 (Specific Duties and Public Authorities) Regulations 2017. </w:t>
      </w:r>
      <w:proofErr w:type="spellStart"/>
      <w:r w:rsidRPr="00A53AE6">
        <w:rPr>
          <w:rFonts w:cs="KFEYB M+ News Gothic BT"/>
          <w:color w:val="696666"/>
          <w:sz w:val="20"/>
        </w:rPr>
        <w:t>BMet’s</w:t>
      </w:r>
      <w:proofErr w:type="spellEnd"/>
      <w:r w:rsidRPr="00A53AE6">
        <w:rPr>
          <w:rFonts w:cs="KFEYB M+ News Gothic BT"/>
          <w:color w:val="696666"/>
          <w:sz w:val="20"/>
        </w:rPr>
        <w:t xml:space="preserve"> full pay relevant employees include salaried </w:t>
      </w:r>
      <w:r>
        <w:rPr>
          <w:rFonts w:cs="KFEYB M+ News Gothic BT"/>
          <w:color w:val="696666"/>
          <w:sz w:val="20"/>
        </w:rPr>
        <w:t xml:space="preserve">employees </w:t>
      </w:r>
      <w:r w:rsidRPr="00A53AE6">
        <w:rPr>
          <w:rFonts w:cs="KFEYB M+ News Gothic BT"/>
          <w:color w:val="696666"/>
          <w:sz w:val="20"/>
        </w:rPr>
        <w:t xml:space="preserve">and hourly paid </w:t>
      </w:r>
      <w:r>
        <w:rPr>
          <w:rFonts w:cs="KFEYB M+ News Gothic BT"/>
          <w:color w:val="696666"/>
          <w:sz w:val="20"/>
        </w:rPr>
        <w:t>workers</w:t>
      </w:r>
      <w:r w:rsidRPr="00A53AE6">
        <w:rPr>
          <w:rFonts w:cs="KFEYB M+ News Gothic BT"/>
          <w:color w:val="696666"/>
          <w:sz w:val="20"/>
        </w:rPr>
        <w:t xml:space="preserve">. The college has based its report on the </w:t>
      </w:r>
      <w:r w:rsidR="00C2015F">
        <w:rPr>
          <w:rFonts w:cs="KFEYB M+ News Gothic BT"/>
          <w:color w:val="696666"/>
          <w:sz w:val="20"/>
        </w:rPr>
        <w:t>ethnicity</w:t>
      </w:r>
      <w:r w:rsidRPr="00A53AE6">
        <w:rPr>
          <w:rFonts w:cs="KFEYB M+ News Gothic BT"/>
          <w:color w:val="696666"/>
          <w:sz w:val="20"/>
        </w:rPr>
        <w:t xml:space="preserve"> identification held within HR systems</w:t>
      </w:r>
      <w:r w:rsidR="00C2015F">
        <w:rPr>
          <w:rFonts w:cs="KFEYB M+ News Gothic BT"/>
          <w:color w:val="696666"/>
          <w:sz w:val="20"/>
        </w:rPr>
        <w:t>.</w:t>
      </w:r>
    </w:p>
    <w:p w14:paraId="181CC22B" w14:textId="463214E1" w:rsidR="00BC130E" w:rsidRDefault="00BC130E" w:rsidP="00002C14">
      <w:pPr>
        <w:pStyle w:val="ListParagraph"/>
        <w:ind w:left="0"/>
        <w:rPr>
          <w:color w:val="FF0000"/>
        </w:rPr>
      </w:pPr>
      <w:r>
        <w:rPr>
          <w:color w:val="FF0000"/>
        </w:rPr>
        <w:br w:type="page"/>
      </w:r>
    </w:p>
    <w:p w14:paraId="0A57D8A7" w14:textId="77777777" w:rsidR="0059340C" w:rsidRDefault="0059340C" w:rsidP="00002C14">
      <w:pPr>
        <w:pStyle w:val="ListParagraph"/>
        <w:ind w:left="0"/>
        <w:rPr>
          <w:color w:val="FF0000"/>
        </w:rPr>
      </w:pPr>
    </w:p>
    <w:tbl>
      <w:tblPr>
        <w:tblStyle w:val="TableGrid"/>
        <w:tblpPr w:leftFromText="180" w:rightFromText="180" w:vertAnchor="text" w:horzAnchor="margin" w:tblpY="870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1842"/>
        <w:gridCol w:w="1408"/>
        <w:gridCol w:w="1266"/>
        <w:gridCol w:w="1267"/>
        <w:gridCol w:w="1300"/>
        <w:gridCol w:w="1276"/>
        <w:gridCol w:w="1275"/>
      </w:tblGrid>
      <w:tr w:rsidR="00842F6D" w:rsidRPr="00BE2171" w14:paraId="79B0D382" w14:textId="4E343507" w:rsidTr="00CC3CFF">
        <w:tc>
          <w:tcPr>
            <w:tcW w:w="1842" w:type="dxa"/>
            <w:vMerge w:val="restart"/>
            <w:shd w:val="clear" w:color="auto" w:fill="DDD9C3" w:themeFill="background2" w:themeFillShade="E6"/>
          </w:tcPr>
          <w:p w14:paraId="761FA395" w14:textId="77777777" w:rsidR="00842F6D" w:rsidRDefault="00842F6D" w:rsidP="00CC3CFF">
            <w:pPr>
              <w:rPr>
                <w:b/>
                <w:sz w:val="20"/>
                <w:szCs w:val="20"/>
              </w:rPr>
            </w:pPr>
            <w:r w:rsidRPr="00C2015F">
              <w:rPr>
                <w:b/>
                <w:sz w:val="20"/>
                <w:szCs w:val="20"/>
              </w:rPr>
              <w:t>Quartiles</w:t>
            </w:r>
          </w:p>
          <w:p w14:paraId="7F2C12BF" w14:textId="561170C2" w:rsidR="00842F6D" w:rsidRPr="00C2015F" w:rsidRDefault="00842F6D" w:rsidP="00CC3C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C2015F">
              <w:rPr>
                <w:bCs/>
                <w:color w:val="808080" w:themeColor="background1" w:themeShade="80"/>
                <w:sz w:val="16"/>
                <w:szCs w:val="16"/>
              </w:rPr>
              <w:t>(</w:t>
            </w:r>
            <w:proofErr w:type="spellStart"/>
            <w:r w:rsidRPr="00C2015F">
              <w:rPr>
                <w:bCs/>
                <w:color w:val="808080" w:themeColor="background1" w:themeShade="80"/>
                <w:sz w:val="16"/>
                <w:szCs w:val="16"/>
              </w:rPr>
              <w:t>nos</w:t>
            </w:r>
            <w:proofErr w:type="spellEnd"/>
            <w:r w:rsidRPr="00C2015F">
              <w:rPr>
                <w:bCs/>
                <w:color w:val="808080" w:themeColor="background1" w:themeShade="80"/>
                <w:sz w:val="16"/>
                <w:szCs w:val="16"/>
              </w:rPr>
              <w:t xml:space="preserve"> in each quarter)</w:t>
            </w:r>
          </w:p>
        </w:tc>
        <w:tc>
          <w:tcPr>
            <w:tcW w:w="3941" w:type="dxa"/>
            <w:gridSpan w:val="3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58D8282A" w14:textId="01ED373B" w:rsidR="00842F6D" w:rsidRPr="00C2015F" w:rsidRDefault="00842F6D" w:rsidP="00CC3CF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015F"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3851" w:type="dxa"/>
            <w:gridSpan w:val="3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43E322F7" w14:textId="5FCE5638" w:rsidR="00842F6D" w:rsidRPr="00A63140" w:rsidRDefault="00842F6D" w:rsidP="00CC3CFF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b/>
                <w:color w:val="808080" w:themeColor="background1" w:themeShade="80"/>
                <w:sz w:val="20"/>
                <w:szCs w:val="20"/>
              </w:rPr>
              <w:t xml:space="preserve">2020 </w:t>
            </w:r>
            <w:r w:rsidRPr="00A63140">
              <w:rPr>
                <w:bCs/>
                <w:i/>
                <w:iCs/>
                <w:color w:val="808080" w:themeColor="background1" w:themeShade="80"/>
                <w:sz w:val="20"/>
                <w:szCs w:val="20"/>
              </w:rPr>
              <w:t>193 in each quartile</w:t>
            </w:r>
          </w:p>
        </w:tc>
      </w:tr>
      <w:tr w:rsidR="00842F6D" w:rsidRPr="00BE2171" w14:paraId="3CC24F45" w14:textId="2A021110" w:rsidTr="00CC3CFF">
        <w:tc>
          <w:tcPr>
            <w:tcW w:w="1842" w:type="dxa"/>
            <w:vMerge/>
            <w:shd w:val="clear" w:color="auto" w:fill="DDD9C3" w:themeFill="background2" w:themeFillShade="E6"/>
          </w:tcPr>
          <w:p w14:paraId="6602355E" w14:textId="77777777" w:rsidR="00842F6D" w:rsidRPr="00C2015F" w:rsidRDefault="00842F6D" w:rsidP="00CC3CFF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7DC65660" w14:textId="5A6008E9" w:rsidR="00842F6D" w:rsidRPr="00C2015F" w:rsidRDefault="00842F6D" w:rsidP="00CC3CF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015F">
              <w:rPr>
                <w:b/>
                <w:color w:val="000000" w:themeColor="text1"/>
                <w:sz w:val="20"/>
                <w:szCs w:val="20"/>
              </w:rPr>
              <w:t>White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3CEC8B0D" w14:textId="70992354" w:rsidR="00842F6D" w:rsidRPr="00C2015F" w:rsidRDefault="00842F6D" w:rsidP="00CC3CF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015F">
              <w:rPr>
                <w:b/>
                <w:color w:val="000000" w:themeColor="text1"/>
                <w:sz w:val="20"/>
                <w:szCs w:val="20"/>
              </w:rPr>
              <w:t>BAME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599F3408" w14:textId="062BF40B" w:rsidR="00842F6D" w:rsidRPr="00C2015F" w:rsidRDefault="00842F6D" w:rsidP="00CC3CF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015F">
              <w:rPr>
                <w:b/>
                <w:color w:val="000000" w:themeColor="text1"/>
                <w:sz w:val="20"/>
                <w:szCs w:val="20"/>
              </w:rPr>
              <w:t>Not known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5B7EC0D6" w14:textId="1CA51AA3" w:rsidR="00842F6D" w:rsidRPr="00A63140" w:rsidRDefault="00842F6D" w:rsidP="00CC3CFF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b/>
                <w:color w:val="808080" w:themeColor="background1" w:themeShade="80"/>
                <w:sz w:val="20"/>
                <w:szCs w:val="20"/>
              </w:rPr>
              <w:t>White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744F7F21" w14:textId="7EBEA6E0" w:rsidR="00842F6D" w:rsidRPr="00A63140" w:rsidRDefault="00842F6D" w:rsidP="00CC3CFF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b/>
                <w:color w:val="808080" w:themeColor="background1" w:themeShade="80"/>
                <w:sz w:val="20"/>
                <w:szCs w:val="20"/>
              </w:rPr>
              <w:t>BAME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2C554F0E" w14:textId="470597AC" w:rsidR="00842F6D" w:rsidRPr="00A63140" w:rsidRDefault="00842F6D" w:rsidP="00CC3CFF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b/>
                <w:color w:val="808080" w:themeColor="background1" w:themeShade="80"/>
                <w:sz w:val="20"/>
                <w:szCs w:val="20"/>
              </w:rPr>
              <w:t>Not known</w:t>
            </w:r>
          </w:p>
        </w:tc>
      </w:tr>
      <w:tr w:rsidR="00842F6D" w:rsidRPr="00BE2171" w14:paraId="20CFB6D0" w14:textId="3BA012C5" w:rsidTr="00CC3CFF">
        <w:tc>
          <w:tcPr>
            <w:tcW w:w="1842" w:type="dxa"/>
            <w:shd w:val="clear" w:color="auto" w:fill="auto"/>
          </w:tcPr>
          <w:p w14:paraId="2FB0B4D1" w14:textId="7BC53717" w:rsidR="00842F6D" w:rsidRPr="00C2015F" w:rsidRDefault="00842F6D" w:rsidP="00CC3CFF">
            <w:pPr>
              <w:rPr>
                <w:b/>
                <w:sz w:val="20"/>
                <w:szCs w:val="20"/>
              </w:rPr>
            </w:pPr>
            <w:r w:rsidRPr="00C2015F">
              <w:rPr>
                <w:sz w:val="20"/>
                <w:szCs w:val="20"/>
              </w:rPr>
              <w:t xml:space="preserve">Upper </w:t>
            </w:r>
            <w:r w:rsidRPr="00C2015F">
              <w:rPr>
                <w:color w:val="808080" w:themeColor="background1" w:themeShade="80"/>
                <w:sz w:val="20"/>
                <w:szCs w:val="20"/>
              </w:rPr>
              <w:t>(198)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shd w:val="clear" w:color="auto" w:fill="auto"/>
          </w:tcPr>
          <w:p w14:paraId="24728252" w14:textId="41A2B612" w:rsidR="00842F6D" w:rsidRPr="00C2015F" w:rsidRDefault="00842F6D" w:rsidP="00CC3C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2015F">
              <w:rPr>
                <w:bCs/>
                <w:color w:val="000000" w:themeColor="text1"/>
                <w:sz w:val="20"/>
                <w:szCs w:val="20"/>
              </w:rPr>
              <w:t xml:space="preserve">69.7% </w:t>
            </w:r>
            <w:r w:rsidRPr="00C2015F">
              <w:rPr>
                <w:bCs/>
                <w:color w:val="808080" w:themeColor="background1" w:themeShade="80"/>
                <w:sz w:val="20"/>
                <w:szCs w:val="20"/>
              </w:rPr>
              <w:t>(138)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auto"/>
          </w:tcPr>
          <w:p w14:paraId="57FE43C7" w14:textId="2F22E29E" w:rsidR="00842F6D" w:rsidRPr="00C2015F" w:rsidRDefault="00842F6D" w:rsidP="00CC3C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2015F">
              <w:rPr>
                <w:bCs/>
                <w:color w:val="000000" w:themeColor="text1"/>
                <w:sz w:val="20"/>
                <w:szCs w:val="20"/>
              </w:rPr>
              <w:t xml:space="preserve">18.7% </w:t>
            </w:r>
            <w:r w:rsidRPr="00C2015F">
              <w:rPr>
                <w:bCs/>
                <w:color w:val="808080" w:themeColor="background1" w:themeShade="80"/>
                <w:sz w:val="20"/>
                <w:szCs w:val="20"/>
              </w:rPr>
              <w:t>(37)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auto"/>
          </w:tcPr>
          <w:p w14:paraId="291570E5" w14:textId="117668B9" w:rsidR="00842F6D" w:rsidRPr="00C2015F" w:rsidRDefault="00842F6D" w:rsidP="00CC3C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2015F">
              <w:rPr>
                <w:bCs/>
                <w:color w:val="000000" w:themeColor="text1"/>
                <w:sz w:val="20"/>
                <w:szCs w:val="20"/>
              </w:rPr>
              <w:t xml:space="preserve">11.6% </w:t>
            </w:r>
            <w:r w:rsidRPr="00C2015F">
              <w:rPr>
                <w:bCs/>
                <w:color w:val="808080" w:themeColor="background1" w:themeShade="80"/>
                <w:sz w:val="20"/>
                <w:szCs w:val="20"/>
              </w:rPr>
              <w:t>(23)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5430BD87" w14:textId="04FB9EFC" w:rsidR="00842F6D" w:rsidRPr="00A63140" w:rsidRDefault="00842F6D" w:rsidP="00CC3CFF">
            <w:pPr>
              <w:jc w:val="center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62.7% (121)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AEC3F2" w14:textId="7314EC03" w:rsidR="00842F6D" w:rsidRPr="00A63140" w:rsidRDefault="00842F6D" w:rsidP="00CC3CF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17.6% (34)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6FCE54A" w14:textId="3C98769A" w:rsidR="00842F6D" w:rsidRPr="00A63140" w:rsidRDefault="00842F6D" w:rsidP="00CC3CF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19.6% (38)</w:t>
            </w:r>
          </w:p>
        </w:tc>
      </w:tr>
      <w:tr w:rsidR="00842F6D" w:rsidRPr="00BE2171" w14:paraId="4355126B" w14:textId="1AC9CF7B" w:rsidTr="00CC3CFF">
        <w:tc>
          <w:tcPr>
            <w:tcW w:w="1842" w:type="dxa"/>
            <w:shd w:val="clear" w:color="auto" w:fill="auto"/>
          </w:tcPr>
          <w:p w14:paraId="2AB04B88" w14:textId="2A10CD90" w:rsidR="00842F6D" w:rsidRPr="00C2015F" w:rsidRDefault="00842F6D" w:rsidP="00CC3CFF">
            <w:pPr>
              <w:rPr>
                <w:b/>
                <w:sz w:val="20"/>
                <w:szCs w:val="20"/>
              </w:rPr>
            </w:pPr>
            <w:r w:rsidRPr="00C2015F">
              <w:rPr>
                <w:sz w:val="20"/>
                <w:szCs w:val="20"/>
              </w:rPr>
              <w:t xml:space="preserve">Upper Middle </w:t>
            </w:r>
            <w:r w:rsidRPr="00C2015F">
              <w:rPr>
                <w:color w:val="808080" w:themeColor="background1" w:themeShade="80"/>
                <w:sz w:val="20"/>
                <w:szCs w:val="20"/>
              </w:rPr>
              <w:t>(198)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shd w:val="clear" w:color="auto" w:fill="auto"/>
          </w:tcPr>
          <w:p w14:paraId="09113853" w14:textId="498E50E6" w:rsidR="00842F6D" w:rsidRPr="00C2015F" w:rsidRDefault="00842F6D" w:rsidP="00CC3C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2015F">
              <w:rPr>
                <w:bCs/>
                <w:color w:val="000000" w:themeColor="text1"/>
                <w:sz w:val="20"/>
                <w:szCs w:val="20"/>
              </w:rPr>
              <w:t xml:space="preserve">56.6% </w:t>
            </w:r>
            <w:r w:rsidRPr="00C2015F">
              <w:rPr>
                <w:bCs/>
                <w:color w:val="808080" w:themeColor="background1" w:themeShade="80"/>
                <w:sz w:val="20"/>
                <w:szCs w:val="20"/>
              </w:rPr>
              <w:t>(112)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auto"/>
          </w:tcPr>
          <w:p w14:paraId="74AA6FF9" w14:textId="1F40A549" w:rsidR="00842F6D" w:rsidRPr="00C2015F" w:rsidRDefault="00842F6D" w:rsidP="00CC3C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2015F">
              <w:rPr>
                <w:bCs/>
                <w:color w:val="000000" w:themeColor="text1"/>
                <w:sz w:val="20"/>
                <w:szCs w:val="20"/>
              </w:rPr>
              <w:t xml:space="preserve">29.8% </w:t>
            </w:r>
            <w:r w:rsidRPr="00C2015F">
              <w:rPr>
                <w:bCs/>
                <w:color w:val="808080" w:themeColor="background1" w:themeShade="80"/>
                <w:sz w:val="20"/>
                <w:szCs w:val="20"/>
              </w:rPr>
              <w:t>(59)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auto"/>
          </w:tcPr>
          <w:p w14:paraId="484E5CB9" w14:textId="2652B00C" w:rsidR="00842F6D" w:rsidRPr="00C2015F" w:rsidRDefault="00842F6D" w:rsidP="00CC3C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2015F">
              <w:rPr>
                <w:bCs/>
                <w:color w:val="000000" w:themeColor="text1"/>
                <w:sz w:val="20"/>
                <w:szCs w:val="20"/>
              </w:rPr>
              <w:t xml:space="preserve">13.6% </w:t>
            </w:r>
            <w:r w:rsidRPr="00C2015F">
              <w:rPr>
                <w:bCs/>
                <w:color w:val="808080" w:themeColor="background1" w:themeShade="80"/>
                <w:sz w:val="20"/>
                <w:szCs w:val="20"/>
              </w:rPr>
              <w:t xml:space="preserve">(27) 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7F62787F" w14:textId="440ECCC3" w:rsidR="00842F6D" w:rsidRPr="00A63140" w:rsidRDefault="00842F6D" w:rsidP="00CC3CFF">
            <w:pPr>
              <w:jc w:val="center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64.2% (124)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54371C" w14:textId="04AF2D0C" w:rsidR="00842F6D" w:rsidRPr="00A63140" w:rsidRDefault="00842F6D" w:rsidP="00CC3CF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27.5% (53)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B296F4F" w14:textId="400AD8F9" w:rsidR="00842F6D" w:rsidRPr="00A63140" w:rsidRDefault="00842F6D" w:rsidP="00CC3CF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8.3% (16)</w:t>
            </w:r>
          </w:p>
        </w:tc>
      </w:tr>
      <w:tr w:rsidR="00842F6D" w:rsidRPr="00BE2171" w14:paraId="4D2FEF20" w14:textId="3458442B" w:rsidTr="00CC3CFF">
        <w:tc>
          <w:tcPr>
            <w:tcW w:w="1842" w:type="dxa"/>
            <w:shd w:val="clear" w:color="auto" w:fill="auto"/>
          </w:tcPr>
          <w:p w14:paraId="685141AF" w14:textId="2CFC5802" w:rsidR="00842F6D" w:rsidRPr="00C2015F" w:rsidRDefault="00842F6D" w:rsidP="00CC3CFF">
            <w:pPr>
              <w:rPr>
                <w:b/>
                <w:sz w:val="20"/>
                <w:szCs w:val="20"/>
              </w:rPr>
            </w:pPr>
            <w:r w:rsidRPr="00C2015F">
              <w:rPr>
                <w:sz w:val="20"/>
                <w:szCs w:val="20"/>
              </w:rPr>
              <w:t xml:space="preserve">Lower Middle </w:t>
            </w:r>
            <w:r w:rsidRPr="00C2015F">
              <w:rPr>
                <w:color w:val="808080" w:themeColor="background1" w:themeShade="80"/>
                <w:sz w:val="20"/>
                <w:szCs w:val="20"/>
              </w:rPr>
              <w:t>(197)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shd w:val="clear" w:color="auto" w:fill="auto"/>
          </w:tcPr>
          <w:p w14:paraId="74658579" w14:textId="662BA198" w:rsidR="00842F6D" w:rsidRPr="00C2015F" w:rsidRDefault="00842F6D" w:rsidP="00CC3C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2015F">
              <w:rPr>
                <w:bCs/>
                <w:color w:val="000000" w:themeColor="text1"/>
                <w:sz w:val="20"/>
                <w:szCs w:val="20"/>
              </w:rPr>
              <w:t xml:space="preserve">51.8% </w:t>
            </w:r>
            <w:r w:rsidRPr="00C2015F">
              <w:rPr>
                <w:bCs/>
                <w:color w:val="808080" w:themeColor="background1" w:themeShade="80"/>
                <w:sz w:val="20"/>
                <w:szCs w:val="20"/>
              </w:rPr>
              <w:t>(102)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auto"/>
          </w:tcPr>
          <w:p w14:paraId="75BE5675" w14:textId="73A21ABA" w:rsidR="00842F6D" w:rsidRPr="00C2015F" w:rsidRDefault="00842F6D" w:rsidP="00CC3C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2015F">
              <w:rPr>
                <w:bCs/>
                <w:color w:val="000000" w:themeColor="text1"/>
                <w:sz w:val="20"/>
                <w:szCs w:val="20"/>
              </w:rPr>
              <w:t xml:space="preserve">26.4% </w:t>
            </w:r>
            <w:r w:rsidRPr="00C2015F">
              <w:rPr>
                <w:bCs/>
                <w:color w:val="808080" w:themeColor="background1" w:themeShade="80"/>
                <w:sz w:val="20"/>
                <w:szCs w:val="20"/>
              </w:rPr>
              <w:t>(52)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auto"/>
          </w:tcPr>
          <w:p w14:paraId="1051C446" w14:textId="3FF35246" w:rsidR="00842F6D" w:rsidRPr="00C2015F" w:rsidRDefault="00842F6D" w:rsidP="00CC3C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2015F">
              <w:rPr>
                <w:bCs/>
                <w:color w:val="000000" w:themeColor="text1"/>
                <w:sz w:val="20"/>
                <w:szCs w:val="20"/>
              </w:rPr>
              <w:t xml:space="preserve">21.8% </w:t>
            </w:r>
            <w:r w:rsidRPr="00C2015F">
              <w:rPr>
                <w:bCs/>
                <w:color w:val="808080" w:themeColor="background1" w:themeShade="80"/>
                <w:sz w:val="20"/>
                <w:szCs w:val="20"/>
              </w:rPr>
              <w:t>(43)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2F32312C" w14:textId="06D23CEB" w:rsidR="00842F6D" w:rsidRPr="00A63140" w:rsidRDefault="00842F6D" w:rsidP="00CC3CFF">
            <w:pPr>
              <w:jc w:val="center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55.4% (107)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295403" w14:textId="4F5FE5DF" w:rsidR="00842F6D" w:rsidRPr="00A63140" w:rsidRDefault="00842F6D" w:rsidP="00CC3CF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25.9% (50)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93BEFF3" w14:textId="7B3298ED" w:rsidR="00842F6D" w:rsidRPr="00A63140" w:rsidRDefault="00842F6D" w:rsidP="00CC3CF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18.7% (36)</w:t>
            </w:r>
          </w:p>
        </w:tc>
      </w:tr>
      <w:tr w:rsidR="00842F6D" w:rsidRPr="00BE2171" w14:paraId="54BDB79C" w14:textId="3F7A8EEF" w:rsidTr="00CC3CFF"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BC5C5C1" w14:textId="1F52387D" w:rsidR="00842F6D" w:rsidRPr="00C2015F" w:rsidRDefault="00842F6D" w:rsidP="00CC3CFF">
            <w:pPr>
              <w:rPr>
                <w:b/>
                <w:sz w:val="20"/>
                <w:szCs w:val="20"/>
              </w:rPr>
            </w:pPr>
            <w:r w:rsidRPr="00C2015F">
              <w:rPr>
                <w:sz w:val="20"/>
                <w:szCs w:val="20"/>
              </w:rPr>
              <w:t xml:space="preserve">Lower </w:t>
            </w:r>
            <w:r w:rsidRPr="00C2015F">
              <w:rPr>
                <w:color w:val="808080" w:themeColor="background1" w:themeShade="80"/>
                <w:sz w:val="20"/>
                <w:szCs w:val="20"/>
              </w:rPr>
              <w:t>(198)</w:t>
            </w:r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BCCC" w14:textId="27F81745" w:rsidR="00842F6D" w:rsidRPr="00C2015F" w:rsidRDefault="00842F6D" w:rsidP="00CC3C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2015F">
              <w:rPr>
                <w:bCs/>
                <w:color w:val="000000" w:themeColor="text1"/>
                <w:sz w:val="20"/>
                <w:szCs w:val="20"/>
              </w:rPr>
              <w:t xml:space="preserve">37.4% </w:t>
            </w:r>
            <w:r w:rsidRPr="00C2015F">
              <w:rPr>
                <w:bCs/>
                <w:color w:val="808080" w:themeColor="background1" w:themeShade="80"/>
                <w:sz w:val="20"/>
                <w:szCs w:val="20"/>
              </w:rPr>
              <w:t>(74)</w:t>
            </w:r>
          </w:p>
        </w:tc>
        <w:tc>
          <w:tcPr>
            <w:tcW w:w="1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AA89" w14:textId="63EDE24D" w:rsidR="00842F6D" w:rsidRPr="00C2015F" w:rsidRDefault="00842F6D" w:rsidP="00CC3C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2015F">
              <w:rPr>
                <w:bCs/>
                <w:color w:val="000000" w:themeColor="text1"/>
                <w:sz w:val="20"/>
                <w:szCs w:val="20"/>
              </w:rPr>
              <w:t xml:space="preserve">21.2% </w:t>
            </w:r>
            <w:r w:rsidRPr="00C2015F">
              <w:rPr>
                <w:bCs/>
                <w:color w:val="808080" w:themeColor="background1" w:themeShade="80"/>
                <w:sz w:val="20"/>
                <w:szCs w:val="20"/>
              </w:rPr>
              <w:t>(42)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58E6" w14:textId="6A4FA6E8" w:rsidR="00842F6D" w:rsidRPr="00C2015F" w:rsidRDefault="00842F6D" w:rsidP="00CC3C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2015F">
              <w:rPr>
                <w:bCs/>
                <w:color w:val="000000" w:themeColor="text1"/>
                <w:sz w:val="20"/>
                <w:szCs w:val="20"/>
              </w:rPr>
              <w:t xml:space="preserve">41.4% </w:t>
            </w:r>
            <w:r w:rsidRPr="00C2015F">
              <w:rPr>
                <w:bCs/>
                <w:color w:val="808080" w:themeColor="background1" w:themeShade="80"/>
                <w:sz w:val="20"/>
                <w:szCs w:val="20"/>
              </w:rPr>
              <w:t>(82)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14:paraId="42C8686E" w14:textId="4A77C250" w:rsidR="00842F6D" w:rsidRPr="00A63140" w:rsidRDefault="00842F6D" w:rsidP="00CC3CFF">
            <w:pPr>
              <w:jc w:val="center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58.0% (112)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33F8225F" w14:textId="2D0284EA" w:rsidR="00842F6D" w:rsidRPr="00A63140" w:rsidRDefault="00842F6D" w:rsidP="00CC3CF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18.1% (35)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5BCA32A6" w14:textId="5F21BF72" w:rsidR="00842F6D" w:rsidRPr="00A63140" w:rsidRDefault="00842F6D" w:rsidP="00CC3CF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23.8% (46)</w:t>
            </w:r>
          </w:p>
        </w:tc>
      </w:tr>
    </w:tbl>
    <w:p w14:paraId="13A8634F" w14:textId="135B46F8" w:rsidR="00940E25" w:rsidRDefault="00940E25" w:rsidP="00940E25">
      <w:pPr>
        <w:rPr>
          <w:i/>
          <w:sz w:val="20"/>
          <w:u w:val="single"/>
        </w:rPr>
      </w:pPr>
      <w:r w:rsidRPr="00E52C68">
        <w:rPr>
          <w:i/>
          <w:sz w:val="20"/>
          <w:u w:val="single"/>
        </w:rPr>
        <w:t xml:space="preserve">Table 3 Percentage of </w:t>
      </w:r>
      <w:r w:rsidR="00430CAA">
        <w:rPr>
          <w:i/>
          <w:sz w:val="20"/>
          <w:u w:val="single"/>
        </w:rPr>
        <w:t>white</w:t>
      </w:r>
      <w:r w:rsidR="000B7A7F" w:rsidRPr="00E52C68">
        <w:rPr>
          <w:i/>
          <w:sz w:val="20"/>
          <w:u w:val="single"/>
        </w:rPr>
        <w:t>,</w:t>
      </w:r>
      <w:r w:rsidRPr="00E52C68">
        <w:rPr>
          <w:i/>
          <w:sz w:val="20"/>
          <w:u w:val="single"/>
        </w:rPr>
        <w:t xml:space="preserve"> BAME and ‘not known’ employees in the 4 pay band quartiles</w:t>
      </w:r>
      <w:r w:rsidR="00094E8C">
        <w:rPr>
          <w:i/>
          <w:sz w:val="20"/>
          <w:u w:val="single"/>
        </w:rPr>
        <w:t xml:space="preserve">; with </w:t>
      </w:r>
      <w:r w:rsidR="005F54DD">
        <w:rPr>
          <w:i/>
          <w:sz w:val="20"/>
          <w:u w:val="single"/>
        </w:rPr>
        <w:t>20</w:t>
      </w:r>
      <w:r w:rsidR="00EE36DE">
        <w:rPr>
          <w:i/>
          <w:sz w:val="20"/>
          <w:u w:val="single"/>
        </w:rPr>
        <w:t>20</w:t>
      </w:r>
      <w:r w:rsidR="005F54DD">
        <w:rPr>
          <w:i/>
          <w:sz w:val="20"/>
          <w:u w:val="single"/>
        </w:rPr>
        <w:t xml:space="preserve"> </w:t>
      </w:r>
      <w:r w:rsidR="00094E8C">
        <w:rPr>
          <w:i/>
          <w:sz w:val="20"/>
          <w:u w:val="single"/>
        </w:rPr>
        <w:t>comparison</w:t>
      </w:r>
      <w:r w:rsidR="005F54DD">
        <w:rPr>
          <w:i/>
          <w:sz w:val="20"/>
          <w:u w:val="single"/>
        </w:rPr>
        <w:t>s</w:t>
      </w:r>
    </w:p>
    <w:p w14:paraId="2FBE4474" w14:textId="77777777" w:rsidR="00CC3CFF" w:rsidRDefault="00CC3CFF" w:rsidP="00940E25">
      <w:pPr>
        <w:rPr>
          <w:i/>
          <w:sz w:val="20"/>
          <w:u w:val="single"/>
        </w:rPr>
      </w:pPr>
    </w:p>
    <w:p w14:paraId="35B2226A" w14:textId="660EF70A" w:rsidR="001137A5" w:rsidRDefault="001137A5" w:rsidP="001137A5">
      <w:pPr>
        <w:rPr>
          <w:i/>
          <w:sz w:val="20"/>
          <w:u w:val="single"/>
        </w:rPr>
      </w:pPr>
      <w:r w:rsidRPr="00E52C68">
        <w:rPr>
          <w:i/>
          <w:sz w:val="20"/>
          <w:u w:val="single"/>
        </w:rPr>
        <w:t xml:space="preserve">Table 4 Distribution of </w:t>
      </w:r>
      <w:r w:rsidR="00430CAA">
        <w:rPr>
          <w:i/>
          <w:sz w:val="20"/>
          <w:u w:val="single"/>
        </w:rPr>
        <w:t>white</w:t>
      </w:r>
      <w:r w:rsidR="0012092B">
        <w:rPr>
          <w:i/>
          <w:sz w:val="20"/>
          <w:u w:val="single"/>
        </w:rPr>
        <w:t xml:space="preserve"> and </w:t>
      </w:r>
      <w:r w:rsidRPr="00E52C68">
        <w:rPr>
          <w:i/>
          <w:sz w:val="20"/>
          <w:u w:val="single"/>
        </w:rPr>
        <w:t>BAME employees across quartiles</w:t>
      </w:r>
      <w:r w:rsidR="0012092B">
        <w:rPr>
          <w:i/>
          <w:sz w:val="20"/>
          <w:u w:val="single"/>
        </w:rPr>
        <w:t xml:space="preserve"> in 20</w:t>
      </w:r>
      <w:r w:rsidR="00721E8A">
        <w:rPr>
          <w:i/>
          <w:sz w:val="20"/>
          <w:u w:val="single"/>
        </w:rPr>
        <w:t>2</w:t>
      </w:r>
      <w:r w:rsidR="00330062">
        <w:rPr>
          <w:i/>
          <w:sz w:val="20"/>
          <w:u w:val="single"/>
        </w:rPr>
        <w:t xml:space="preserve">1 </w:t>
      </w:r>
      <w:r w:rsidR="00FE676C">
        <w:rPr>
          <w:i/>
          <w:sz w:val="20"/>
          <w:u w:val="single"/>
        </w:rPr>
        <w:t>with 20</w:t>
      </w:r>
      <w:r w:rsidR="00330062">
        <w:rPr>
          <w:i/>
          <w:sz w:val="20"/>
          <w:u w:val="single"/>
        </w:rPr>
        <w:t xml:space="preserve">20/19 </w:t>
      </w:r>
      <w:r w:rsidR="00FE676C">
        <w:rPr>
          <w:i/>
          <w:sz w:val="20"/>
          <w:u w:val="single"/>
        </w:rPr>
        <w:t>comparison</w:t>
      </w:r>
      <w:r w:rsidR="00330062">
        <w:rPr>
          <w:i/>
          <w:sz w:val="20"/>
          <w:u w:val="single"/>
        </w:rPr>
        <w:t>s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1012"/>
        <w:gridCol w:w="930"/>
        <w:gridCol w:w="1134"/>
        <w:gridCol w:w="1133"/>
        <w:gridCol w:w="1130"/>
        <w:gridCol w:w="1130"/>
      </w:tblGrid>
      <w:tr w:rsidR="004B3204" w:rsidRPr="00EE36DE" w14:paraId="2BC605FF" w14:textId="77777777" w:rsidTr="00EE36DE">
        <w:tc>
          <w:tcPr>
            <w:tcW w:w="1843" w:type="dxa"/>
            <w:shd w:val="clear" w:color="auto" w:fill="DDD9C3" w:themeFill="background2" w:themeFillShade="E6"/>
          </w:tcPr>
          <w:p w14:paraId="0DDF1D3E" w14:textId="77777777" w:rsidR="004B3204" w:rsidRPr="00EE36DE" w:rsidRDefault="004B3204" w:rsidP="007F037E">
            <w:pPr>
              <w:rPr>
                <w:b/>
                <w:sz w:val="20"/>
                <w:szCs w:val="20"/>
              </w:rPr>
            </w:pPr>
            <w:r w:rsidRPr="00EE36DE">
              <w:rPr>
                <w:b/>
                <w:sz w:val="20"/>
                <w:szCs w:val="20"/>
              </w:rPr>
              <w:t>Quartiles</w:t>
            </w:r>
          </w:p>
        </w:tc>
        <w:tc>
          <w:tcPr>
            <w:tcW w:w="1942" w:type="dxa"/>
            <w:gridSpan w:val="2"/>
            <w:shd w:val="clear" w:color="auto" w:fill="DDD9C3" w:themeFill="background2" w:themeFillShade="E6"/>
          </w:tcPr>
          <w:p w14:paraId="557C1C74" w14:textId="563E67F1" w:rsidR="004B3204" w:rsidRPr="00EE36DE" w:rsidRDefault="004B3204" w:rsidP="000C6E59">
            <w:pPr>
              <w:jc w:val="center"/>
              <w:rPr>
                <w:b/>
                <w:sz w:val="20"/>
                <w:szCs w:val="20"/>
              </w:rPr>
            </w:pPr>
            <w:r w:rsidRPr="00EE36D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267" w:type="dxa"/>
            <w:gridSpan w:val="2"/>
            <w:shd w:val="clear" w:color="auto" w:fill="EEECE1" w:themeFill="background2"/>
          </w:tcPr>
          <w:p w14:paraId="43719A1B" w14:textId="6773832C" w:rsidR="004B3204" w:rsidRPr="00EE36DE" w:rsidRDefault="004B3204" w:rsidP="000C6E59">
            <w:pPr>
              <w:jc w:val="center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bCs/>
                <w:color w:val="808080" w:themeColor="background1" w:themeShade="80"/>
                <w:sz w:val="20"/>
                <w:szCs w:val="20"/>
              </w:rPr>
              <w:t>2020</w:t>
            </w:r>
          </w:p>
        </w:tc>
        <w:tc>
          <w:tcPr>
            <w:tcW w:w="2260" w:type="dxa"/>
            <w:gridSpan w:val="2"/>
            <w:shd w:val="clear" w:color="auto" w:fill="EEECE1" w:themeFill="background2"/>
          </w:tcPr>
          <w:p w14:paraId="7831DBB1" w14:textId="77777777" w:rsidR="004B3204" w:rsidRPr="00EE36DE" w:rsidRDefault="004B3204" w:rsidP="000C6E59">
            <w:pPr>
              <w:jc w:val="center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bCs/>
                <w:color w:val="808080" w:themeColor="background1" w:themeShade="80"/>
                <w:sz w:val="20"/>
                <w:szCs w:val="20"/>
              </w:rPr>
              <w:t>2019</w:t>
            </w:r>
          </w:p>
        </w:tc>
      </w:tr>
      <w:tr w:rsidR="003718DF" w:rsidRPr="00EE36DE" w14:paraId="55E191DF" w14:textId="77777777" w:rsidTr="00EE36DE">
        <w:tc>
          <w:tcPr>
            <w:tcW w:w="1843" w:type="dxa"/>
            <w:shd w:val="clear" w:color="auto" w:fill="DDD9C3" w:themeFill="background2" w:themeFillShade="E6"/>
          </w:tcPr>
          <w:p w14:paraId="66E0C24E" w14:textId="77777777" w:rsidR="004B3204" w:rsidRPr="00EE36DE" w:rsidRDefault="004B3204" w:rsidP="007F037E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DDD9C3" w:themeFill="background2" w:themeFillShade="E6"/>
          </w:tcPr>
          <w:p w14:paraId="380E01E2" w14:textId="277A6698" w:rsidR="004B3204" w:rsidRPr="00EE36DE" w:rsidRDefault="004B3204" w:rsidP="00BC130E">
            <w:pPr>
              <w:jc w:val="right"/>
              <w:rPr>
                <w:b/>
                <w:sz w:val="20"/>
                <w:szCs w:val="20"/>
              </w:rPr>
            </w:pPr>
            <w:r w:rsidRPr="00EE36DE">
              <w:rPr>
                <w:b/>
                <w:sz w:val="20"/>
                <w:szCs w:val="20"/>
              </w:rPr>
              <w:t>White</w:t>
            </w:r>
          </w:p>
        </w:tc>
        <w:tc>
          <w:tcPr>
            <w:tcW w:w="930" w:type="dxa"/>
            <w:shd w:val="clear" w:color="auto" w:fill="DDD9C3" w:themeFill="background2" w:themeFillShade="E6"/>
          </w:tcPr>
          <w:p w14:paraId="66A0D2A2" w14:textId="51EB0AA2" w:rsidR="004B3204" w:rsidRPr="00EE36DE" w:rsidRDefault="004B3204" w:rsidP="00BC130E">
            <w:pPr>
              <w:jc w:val="right"/>
              <w:rPr>
                <w:b/>
                <w:sz w:val="20"/>
                <w:szCs w:val="20"/>
              </w:rPr>
            </w:pPr>
            <w:r w:rsidRPr="00EE36DE">
              <w:rPr>
                <w:b/>
                <w:sz w:val="20"/>
                <w:szCs w:val="20"/>
              </w:rPr>
              <w:t>BAME</w:t>
            </w:r>
          </w:p>
        </w:tc>
        <w:tc>
          <w:tcPr>
            <w:tcW w:w="1134" w:type="dxa"/>
            <w:shd w:val="clear" w:color="auto" w:fill="EEECE1" w:themeFill="background2"/>
          </w:tcPr>
          <w:p w14:paraId="578B0CCA" w14:textId="728154D8" w:rsidR="004B3204" w:rsidRPr="00EE36DE" w:rsidRDefault="004B3204" w:rsidP="00BC130E">
            <w:pPr>
              <w:jc w:val="right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bCs/>
                <w:color w:val="808080" w:themeColor="background1" w:themeShade="80"/>
                <w:sz w:val="20"/>
                <w:szCs w:val="20"/>
              </w:rPr>
              <w:t>White</w:t>
            </w:r>
          </w:p>
        </w:tc>
        <w:tc>
          <w:tcPr>
            <w:tcW w:w="1133" w:type="dxa"/>
            <w:shd w:val="clear" w:color="auto" w:fill="EEECE1" w:themeFill="background2"/>
          </w:tcPr>
          <w:p w14:paraId="0C769527" w14:textId="77777777" w:rsidR="004B3204" w:rsidRPr="00EE36DE" w:rsidRDefault="004B3204" w:rsidP="00BC130E">
            <w:pPr>
              <w:jc w:val="right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bCs/>
                <w:color w:val="808080" w:themeColor="background1" w:themeShade="80"/>
                <w:sz w:val="20"/>
                <w:szCs w:val="20"/>
              </w:rPr>
              <w:t>BAME</w:t>
            </w:r>
          </w:p>
        </w:tc>
        <w:tc>
          <w:tcPr>
            <w:tcW w:w="1130" w:type="dxa"/>
            <w:shd w:val="clear" w:color="auto" w:fill="EEECE1" w:themeFill="background2"/>
          </w:tcPr>
          <w:p w14:paraId="3C449EA2" w14:textId="77777777" w:rsidR="004B3204" w:rsidRPr="00EE36DE" w:rsidRDefault="004B3204" w:rsidP="00BC130E">
            <w:pPr>
              <w:jc w:val="right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bCs/>
                <w:color w:val="808080" w:themeColor="background1" w:themeShade="80"/>
                <w:sz w:val="20"/>
                <w:szCs w:val="20"/>
              </w:rPr>
              <w:t>White</w:t>
            </w:r>
          </w:p>
        </w:tc>
        <w:tc>
          <w:tcPr>
            <w:tcW w:w="1130" w:type="dxa"/>
            <w:shd w:val="clear" w:color="auto" w:fill="EEECE1" w:themeFill="background2"/>
          </w:tcPr>
          <w:p w14:paraId="2F867FCC" w14:textId="77777777" w:rsidR="004B3204" w:rsidRPr="00EE36DE" w:rsidRDefault="004B3204" w:rsidP="00BC130E">
            <w:pPr>
              <w:jc w:val="right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bCs/>
                <w:color w:val="808080" w:themeColor="background1" w:themeShade="80"/>
                <w:sz w:val="20"/>
                <w:szCs w:val="20"/>
              </w:rPr>
              <w:t>BAME</w:t>
            </w:r>
          </w:p>
        </w:tc>
      </w:tr>
      <w:tr w:rsidR="003718DF" w:rsidRPr="00EE36DE" w14:paraId="69B0FDC2" w14:textId="77777777" w:rsidTr="003718DF">
        <w:tc>
          <w:tcPr>
            <w:tcW w:w="1843" w:type="dxa"/>
          </w:tcPr>
          <w:p w14:paraId="49A5ECE8" w14:textId="77777777" w:rsidR="004B3204" w:rsidRPr="00EE36DE" w:rsidRDefault="004B3204" w:rsidP="00FE676C">
            <w:pPr>
              <w:rPr>
                <w:i/>
                <w:sz w:val="20"/>
                <w:szCs w:val="20"/>
                <w:u w:val="single"/>
              </w:rPr>
            </w:pPr>
            <w:r w:rsidRPr="00EE36DE">
              <w:rPr>
                <w:sz w:val="20"/>
                <w:szCs w:val="20"/>
              </w:rPr>
              <w:t xml:space="preserve">Upper </w:t>
            </w:r>
          </w:p>
        </w:tc>
        <w:tc>
          <w:tcPr>
            <w:tcW w:w="1012" w:type="dxa"/>
          </w:tcPr>
          <w:p w14:paraId="3015FA1D" w14:textId="5B6EC4E4" w:rsidR="004B3204" w:rsidRPr="00EE36DE" w:rsidRDefault="00A040FE" w:rsidP="00BC130E">
            <w:pPr>
              <w:jc w:val="right"/>
              <w:rPr>
                <w:sz w:val="20"/>
                <w:szCs w:val="20"/>
              </w:rPr>
            </w:pPr>
            <w:r w:rsidRPr="00EE36DE">
              <w:rPr>
                <w:sz w:val="20"/>
                <w:szCs w:val="20"/>
              </w:rPr>
              <w:t>32.4%</w:t>
            </w:r>
          </w:p>
        </w:tc>
        <w:tc>
          <w:tcPr>
            <w:tcW w:w="930" w:type="dxa"/>
          </w:tcPr>
          <w:p w14:paraId="6938D86E" w14:textId="3FF219F8" w:rsidR="004B3204" w:rsidRPr="00EE36DE" w:rsidRDefault="00C61CE1" w:rsidP="00BC130E">
            <w:pPr>
              <w:jc w:val="right"/>
              <w:rPr>
                <w:sz w:val="20"/>
                <w:szCs w:val="20"/>
              </w:rPr>
            </w:pPr>
            <w:r w:rsidRPr="00EE36DE">
              <w:rPr>
                <w:sz w:val="20"/>
                <w:szCs w:val="20"/>
              </w:rPr>
              <w:t>19.4%</w:t>
            </w:r>
          </w:p>
        </w:tc>
        <w:tc>
          <w:tcPr>
            <w:tcW w:w="1134" w:type="dxa"/>
            <w:shd w:val="clear" w:color="auto" w:fill="auto"/>
          </w:tcPr>
          <w:p w14:paraId="7D7E5266" w14:textId="18A76776" w:rsidR="004B3204" w:rsidRPr="00EE36DE" w:rsidRDefault="004B3204" w:rsidP="00BC130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color w:val="808080" w:themeColor="background1" w:themeShade="80"/>
                <w:sz w:val="20"/>
                <w:szCs w:val="20"/>
              </w:rPr>
              <w:t xml:space="preserve">26.1% </w:t>
            </w:r>
          </w:p>
        </w:tc>
        <w:tc>
          <w:tcPr>
            <w:tcW w:w="1133" w:type="dxa"/>
            <w:shd w:val="clear" w:color="auto" w:fill="auto"/>
          </w:tcPr>
          <w:p w14:paraId="722C1640" w14:textId="77777777" w:rsidR="004B3204" w:rsidRPr="00EE36DE" w:rsidRDefault="004B3204" w:rsidP="00BC130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color w:val="808080" w:themeColor="background1" w:themeShade="80"/>
                <w:sz w:val="20"/>
                <w:szCs w:val="20"/>
              </w:rPr>
              <w:t>19.8%</w:t>
            </w:r>
          </w:p>
        </w:tc>
        <w:tc>
          <w:tcPr>
            <w:tcW w:w="1130" w:type="dxa"/>
            <w:shd w:val="clear" w:color="auto" w:fill="auto"/>
          </w:tcPr>
          <w:p w14:paraId="205E978D" w14:textId="77777777" w:rsidR="004B3204" w:rsidRPr="00EE36DE" w:rsidRDefault="004B3204" w:rsidP="00BC130E">
            <w:pPr>
              <w:jc w:val="right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color w:val="808080" w:themeColor="background1" w:themeShade="80"/>
                <w:sz w:val="20"/>
                <w:szCs w:val="20"/>
              </w:rPr>
              <w:t>26.0%</w:t>
            </w:r>
          </w:p>
        </w:tc>
        <w:tc>
          <w:tcPr>
            <w:tcW w:w="1130" w:type="dxa"/>
            <w:shd w:val="clear" w:color="auto" w:fill="auto"/>
          </w:tcPr>
          <w:p w14:paraId="67E8D144" w14:textId="77777777" w:rsidR="004B3204" w:rsidRPr="00EE36DE" w:rsidRDefault="004B3204" w:rsidP="00BC130E">
            <w:pPr>
              <w:jc w:val="right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color w:val="808080" w:themeColor="background1" w:themeShade="80"/>
                <w:sz w:val="20"/>
                <w:szCs w:val="20"/>
              </w:rPr>
              <w:t>20.7%</w:t>
            </w:r>
          </w:p>
        </w:tc>
      </w:tr>
      <w:tr w:rsidR="003718DF" w:rsidRPr="00EE36DE" w14:paraId="0E2D71A5" w14:textId="77777777" w:rsidTr="003718DF">
        <w:tc>
          <w:tcPr>
            <w:tcW w:w="1843" w:type="dxa"/>
          </w:tcPr>
          <w:p w14:paraId="4603F66F" w14:textId="77777777" w:rsidR="004B3204" w:rsidRPr="00EE36DE" w:rsidRDefault="004B3204" w:rsidP="00FE676C">
            <w:pPr>
              <w:rPr>
                <w:sz w:val="20"/>
                <w:szCs w:val="20"/>
              </w:rPr>
            </w:pPr>
            <w:r w:rsidRPr="00EE36DE">
              <w:rPr>
                <w:sz w:val="20"/>
                <w:szCs w:val="20"/>
              </w:rPr>
              <w:t xml:space="preserve">Upper Middle </w:t>
            </w:r>
          </w:p>
        </w:tc>
        <w:tc>
          <w:tcPr>
            <w:tcW w:w="1012" w:type="dxa"/>
          </w:tcPr>
          <w:p w14:paraId="15AF8FE0" w14:textId="330F8FEA" w:rsidR="004B3204" w:rsidRPr="00EE36DE" w:rsidRDefault="0034207E" w:rsidP="00BC130E">
            <w:pPr>
              <w:jc w:val="right"/>
              <w:rPr>
                <w:sz w:val="20"/>
                <w:szCs w:val="20"/>
              </w:rPr>
            </w:pPr>
            <w:r w:rsidRPr="00EE36DE">
              <w:rPr>
                <w:sz w:val="20"/>
                <w:szCs w:val="20"/>
              </w:rPr>
              <w:t>26.3%</w:t>
            </w:r>
          </w:p>
        </w:tc>
        <w:tc>
          <w:tcPr>
            <w:tcW w:w="930" w:type="dxa"/>
          </w:tcPr>
          <w:p w14:paraId="4E4EDE27" w14:textId="5DBC7F71" w:rsidR="004B3204" w:rsidRPr="00EE36DE" w:rsidRDefault="00AA284D" w:rsidP="00BC130E">
            <w:pPr>
              <w:jc w:val="right"/>
              <w:rPr>
                <w:sz w:val="20"/>
                <w:szCs w:val="20"/>
              </w:rPr>
            </w:pPr>
            <w:r w:rsidRPr="00EE36DE">
              <w:rPr>
                <w:sz w:val="20"/>
                <w:szCs w:val="20"/>
              </w:rPr>
              <w:t>31.1%</w:t>
            </w:r>
          </w:p>
        </w:tc>
        <w:tc>
          <w:tcPr>
            <w:tcW w:w="1134" w:type="dxa"/>
            <w:shd w:val="clear" w:color="auto" w:fill="auto"/>
          </w:tcPr>
          <w:p w14:paraId="2111DCF0" w14:textId="0C5C5C55" w:rsidR="004B3204" w:rsidRPr="00EE36DE" w:rsidRDefault="004B3204" w:rsidP="00BC130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color w:val="808080" w:themeColor="background1" w:themeShade="80"/>
                <w:sz w:val="20"/>
                <w:szCs w:val="20"/>
              </w:rPr>
              <w:t xml:space="preserve">26.7% </w:t>
            </w:r>
          </w:p>
        </w:tc>
        <w:tc>
          <w:tcPr>
            <w:tcW w:w="1133" w:type="dxa"/>
            <w:shd w:val="clear" w:color="auto" w:fill="auto"/>
          </w:tcPr>
          <w:p w14:paraId="4555AA25" w14:textId="77777777" w:rsidR="004B3204" w:rsidRPr="00EE36DE" w:rsidRDefault="004B3204" w:rsidP="00BC130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color w:val="808080" w:themeColor="background1" w:themeShade="80"/>
                <w:sz w:val="20"/>
                <w:szCs w:val="20"/>
              </w:rPr>
              <w:t>30.8%</w:t>
            </w:r>
          </w:p>
        </w:tc>
        <w:tc>
          <w:tcPr>
            <w:tcW w:w="1130" w:type="dxa"/>
            <w:shd w:val="clear" w:color="auto" w:fill="auto"/>
          </w:tcPr>
          <w:p w14:paraId="026D27CF" w14:textId="77777777" w:rsidR="004B3204" w:rsidRPr="00EE36DE" w:rsidRDefault="004B3204" w:rsidP="00BC130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color w:val="808080" w:themeColor="background1" w:themeShade="80"/>
                <w:sz w:val="20"/>
                <w:szCs w:val="20"/>
              </w:rPr>
              <w:t>24.9%</w:t>
            </w:r>
          </w:p>
        </w:tc>
        <w:tc>
          <w:tcPr>
            <w:tcW w:w="1130" w:type="dxa"/>
            <w:shd w:val="clear" w:color="auto" w:fill="auto"/>
          </w:tcPr>
          <w:p w14:paraId="309CE5ED" w14:textId="77777777" w:rsidR="004B3204" w:rsidRPr="00EE36DE" w:rsidRDefault="004B3204" w:rsidP="00BC130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color w:val="808080" w:themeColor="background1" w:themeShade="80"/>
                <w:sz w:val="20"/>
                <w:szCs w:val="20"/>
              </w:rPr>
              <w:t>32.2%</w:t>
            </w:r>
          </w:p>
        </w:tc>
      </w:tr>
      <w:tr w:rsidR="003718DF" w:rsidRPr="00EE36DE" w14:paraId="03619B00" w14:textId="77777777" w:rsidTr="003718DF">
        <w:tc>
          <w:tcPr>
            <w:tcW w:w="1843" w:type="dxa"/>
          </w:tcPr>
          <w:p w14:paraId="006D886F" w14:textId="77777777" w:rsidR="004B3204" w:rsidRPr="00EE36DE" w:rsidRDefault="004B3204" w:rsidP="00FE676C">
            <w:pPr>
              <w:rPr>
                <w:sz w:val="20"/>
                <w:szCs w:val="20"/>
              </w:rPr>
            </w:pPr>
            <w:r w:rsidRPr="00EE36DE">
              <w:rPr>
                <w:sz w:val="20"/>
                <w:szCs w:val="20"/>
              </w:rPr>
              <w:t xml:space="preserve">Lower Middle </w:t>
            </w:r>
          </w:p>
        </w:tc>
        <w:tc>
          <w:tcPr>
            <w:tcW w:w="1012" w:type="dxa"/>
          </w:tcPr>
          <w:p w14:paraId="784C6F05" w14:textId="0B76DFE5" w:rsidR="004B3204" w:rsidRPr="00EE36DE" w:rsidRDefault="0034207E" w:rsidP="00BC130E">
            <w:pPr>
              <w:jc w:val="right"/>
              <w:rPr>
                <w:sz w:val="20"/>
                <w:szCs w:val="20"/>
              </w:rPr>
            </w:pPr>
            <w:r w:rsidRPr="00EE36DE">
              <w:rPr>
                <w:sz w:val="20"/>
                <w:szCs w:val="20"/>
              </w:rPr>
              <w:t>23.9%</w:t>
            </w:r>
          </w:p>
        </w:tc>
        <w:tc>
          <w:tcPr>
            <w:tcW w:w="930" w:type="dxa"/>
          </w:tcPr>
          <w:p w14:paraId="295302D9" w14:textId="6111EBA6" w:rsidR="004B3204" w:rsidRPr="00EE36DE" w:rsidRDefault="00732F29" w:rsidP="00BC130E">
            <w:pPr>
              <w:jc w:val="right"/>
              <w:rPr>
                <w:sz w:val="20"/>
                <w:szCs w:val="20"/>
              </w:rPr>
            </w:pPr>
            <w:r w:rsidRPr="00EE36DE">
              <w:rPr>
                <w:sz w:val="20"/>
                <w:szCs w:val="20"/>
              </w:rPr>
              <w:t>27.4%</w:t>
            </w:r>
          </w:p>
        </w:tc>
        <w:tc>
          <w:tcPr>
            <w:tcW w:w="1134" w:type="dxa"/>
            <w:shd w:val="clear" w:color="auto" w:fill="auto"/>
          </w:tcPr>
          <w:p w14:paraId="0517B45D" w14:textId="2C07263F" w:rsidR="004B3204" w:rsidRPr="00EE36DE" w:rsidRDefault="004B3204" w:rsidP="00BC130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color w:val="808080" w:themeColor="background1" w:themeShade="80"/>
                <w:sz w:val="20"/>
                <w:szCs w:val="20"/>
              </w:rPr>
              <w:t xml:space="preserve">23.1% </w:t>
            </w:r>
          </w:p>
        </w:tc>
        <w:tc>
          <w:tcPr>
            <w:tcW w:w="1133" w:type="dxa"/>
            <w:shd w:val="clear" w:color="auto" w:fill="auto"/>
          </w:tcPr>
          <w:p w14:paraId="796F0370" w14:textId="77777777" w:rsidR="004B3204" w:rsidRPr="00EE36DE" w:rsidRDefault="004B3204" w:rsidP="00BC130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color w:val="808080" w:themeColor="background1" w:themeShade="80"/>
                <w:sz w:val="20"/>
                <w:szCs w:val="20"/>
              </w:rPr>
              <w:t>29.1%</w:t>
            </w:r>
          </w:p>
        </w:tc>
        <w:tc>
          <w:tcPr>
            <w:tcW w:w="1130" w:type="dxa"/>
            <w:shd w:val="clear" w:color="auto" w:fill="auto"/>
          </w:tcPr>
          <w:p w14:paraId="32E3D91B" w14:textId="77777777" w:rsidR="004B3204" w:rsidRPr="00EE36DE" w:rsidRDefault="004B3204" w:rsidP="00BC130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color w:val="808080" w:themeColor="background1" w:themeShade="80"/>
                <w:sz w:val="20"/>
                <w:szCs w:val="20"/>
              </w:rPr>
              <w:t>24.8%</w:t>
            </w:r>
          </w:p>
        </w:tc>
        <w:tc>
          <w:tcPr>
            <w:tcW w:w="1130" w:type="dxa"/>
            <w:shd w:val="clear" w:color="auto" w:fill="auto"/>
          </w:tcPr>
          <w:p w14:paraId="6A0CAD4F" w14:textId="77777777" w:rsidR="004B3204" w:rsidRPr="00EE36DE" w:rsidRDefault="004B3204" w:rsidP="00BC130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color w:val="808080" w:themeColor="background1" w:themeShade="80"/>
                <w:sz w:val="20"/>
                <w:szCs w:val="20"/>
              </w:rPr>
              <w:t>27.9%</w:t>
            </w:r>
          </w:p>
        </w:tc>
      </w:tr>
      <w:tr w:rsidR="003718DF" w:rsidRPr="00EE36DE" w14:paraId="32AE7AB6" w14:textId="77777777" w:rsidTr="003718DF">
        <w:trPr>
          <w:trHeight w:val="70"/>
        </w:trPr>
        <w:tc>
          <w:tcPr>
            <w:tcW w:w="1843" w:type="dxa"/>
          </w:tcPr>
          <w:p w14:paraId="528406AC" w14:textId="77777777" w:rsidR="004B3204" w:rsidRPr="00EE36DE" w:rsidRDefault="004B3204" w:rsidP="00FE676C">
            <w:pPr>
              <w:rPr>
                <w:sz w:val="20"/>
                <w:szCs w:val="20"/>
              </w:rPr>
            </w:pPr>
            <w:r w:rsidRPr="00EE36DE">
              <w:rPr>
                <w:sz w:val="20"/>
                <w:szCs w:val="20"/>
              </w:rPr>
              <w:t xml:space="preserve">Lower </w:t>
            </w:r>
          </w:p>
        </w:tc>
        <w:tc>
          <w:tcPr>
            <w:tcW w:w="1012" w:type="dxa"/>
          </w:tcPr>
          <w:p w14:paraId="33FEF991" w14:textId="02386C81" w:rsidR="004B3204" w:rsidRPr="00EE36DE" w:rsidRDefault="00BE7065" w:rsidP="00BC130E">
            <w:pPr>
              <w:jc w:val="right"/>
              <w:rPr>
                <w:sz w:val="20"/>
                <w:szCs w:val="20"/>
              </w:rPr>
            </w:pPr>
            <w:r w:rsidRPr="00EE36DE">
              <w:rPr>
                <w:sz w:val="20"/>
                <w:szCs w:val="20"/>
              </w:rPr>
              <w:t>17.4%</w:t>
            </w:r>
          </w:p>
        </w:tc>
        <w:tc>
          <w:tcPr>
            <w:tcW w:w="930" w:type="dxa"/>
          </w:tcPr>
          <w:p w14:paraId="20EB8CC0" w14:textId="61B9DB2D" w:rsidR="004B3204" w:rsidRPr="00EE36DE" w:rsidRDefault="00732F29" w:rsidP="00BC130E">
            <w:pPr>
              <w:jc w:val="right"/>
              <w:rPr>
                <w:sz w:val="20"/>
                <w:szCs w:val="20"/>
              </w:rPr>
            </w:pPr>
            <w:r w:rsidRPr="00EE36DE">
              <w:rPr>
                <w:sz w:val="20"/>
                <w:szCs w:val="20"/>
              </w:rPr>
              <w:t>22.1</w:t>
            </w:r>
            <w:r w:rsidR="003718DF" w:rsidRPr="00EE36D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2E00CCC0" w14:textId="66608C19" w:rsidR="004B3204" w:rsidRPr="00EE36DE" w:rsidRDefault="004B3204" w:rsidP="00BC130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color w:val="808080" w:themeColor="background1" w:themeShade="80"/>
                <w:sz w:val="20"/>
                <w:szCs w:val="20"/>
              </w:rPr>
              <w:t xml:space="preserve">24.1% </w:t>
            </w:r>
          </w:p>
        </w:tc>
        <w:tc>
          <w:tcPr>
            <w:tcW w:w="1133" w:type="dxa"/>
            <w:shd w:val="clear" w:color="auto" w:fill="auto"/>
          </w:tcPr>
          <w:p w14:paraId="6FBBBA8A" w14:textId="77777777" w:rsidR="004B3204" w:rsidRPr="00EE36DE" w:rsidRDefault="004B3204" w:rsidP="00BC130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color w:val="808080" w:themeColor="background1" w:themeShade="80"/>
                <w:sz w:val="20"/>
                <w:szCs w:val="20"/>
              </w:rPr>
              <w:t xml:space="preserve">20.3% </w:t>
            </w:r>
          </w:p>
        </w:tc>
        <w:tc>
          <w:tcPr>
            <w:tcW w:w="1130" w:type="dxa"/>
            <w:shd w:val="clear" w:color="auto" w:fill="auto"/>
          </w:tcPr>
          <w:p w14:paraId="0FF02357" w14:textId="77777777" w:rsidR="004B3204" w:rsidRPr="00EE36DE" w:rsidRDefault="004B3204" w:rsidP="00BC130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color w:val="808080" w:themeColor="background1" w:themeShade="80"/>
                <w:sz w:val="20"/>
                <w:szCs w:val="20"/>
              </w:rPr>
              <w:t>24.3%</w:t>
            </w:r>
          </w:p>
        </w:tc>
        <w:tc>
          <w:tcPr>
            <w:tcW w:w="1130" w:type="dxa"/>
            <w:shd w:val="clear" w:color="auto" w:fill="auto"/>
          </w:tcPr>
          <w:p w14:paraId="0A8886F7" w14:textId="77777777" w:rsidR="004B3204" w:rsidRPr="00EE36DE" w:rsidRDefault="004B3204" w:rsidP="00BC130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color w:val="808080" w:themeColor="background1" w:themeShade="80"/>
                <w:sz w:val="20"/>
                <w:szCs w:val="20"/>
              </w:rPr>
              <w:t>19.2%</w:t>
            </w:r>
          </w:p>
        </w:tc>
      </w:tr>
    </w:tbl>
    <w:p w14:paraId="6AA66ECF" w14:textId="77777777" w:rsidR="00DE039F" w:rsidRDefault="00DE039F" w:rsidP="001137A5">
      <w:pPr>
        <w:rPr>
          <w:i/>
          <w:sz w:val="20"/>
          <w:u w:val="single"/>
        </w:rPr>
      </w:pPr>
    </w:p>
    <w:p w14:paraId="0DF5DB1C" w14:textId="77777777" w:rsidR="00940E25" w:rsidRDefault="00940E25" w:rsidP="00940E25">
      <w:pPr>
        <w:rPr>
          <w:rFonts w:cs="KFEYB M+ DIN"/>
          <w:b/>
          <w:bCs/>
        </w:rPr>
      </w:pPr>
      <w:r w:rsidRPr="00A53AE6">
        <w:rPr>
          <w:rFonts w:cs="KFEYB M+ DIN"/>
          <w:b/>
          <w:bCs/>
        </w:rPr>
        <w:t xml:space="preserve">4. Supporting commentary </w:t>
      </w:r>
    </w:p>
    <w:p w14:paraId="2BE387D5" w14:textId="5B5A65FB" w:rsidR="0012092B" w:rsidRDefault="0012092B" w:rsidP="004B6730">
      <w:pPr>
        <w:shd w:val="clear" w:color="auto" w:fill="FFFFFF"/>
        <w:spacing w:after="0" w:line="240" w:lineRule="auto"/>
      </w:pPr>
      <w:proofErr w:type="spellStart"/>
      <w:r>
        <w:t>BMet’s</w:t>
      </w:r>
      <w:proofErr w:type="spellEnd"/>
      <w:r w:rsidR="00156FBC" w:rsidRPr="00BE2171">
        <w:t xml:space="preserve"> median </w:t>
      </w:r>
      <w:r w:rsidR="002C2F0E" w:rsidRPr="00BE2171">
        <w:t xml:space="preserve">ethnicity </w:t>
      </w:r>
      <w:r w:rsidR="00156FBC" w:rsidRPr="00BE2171">
        <w:t xml:space="preserve">pay gap </w:t>
      </w:r>
      <w:r w:rsidR="004B6730">
        <w:t xml:space="preserve">is </w:t>
      </w:r>
      <w:r w:rsidR="00156FBC" w:rsidRPr="00BE2171">
        <w:t xml:space="preserve">at </w:t>
      </w:r>
      <w:r w:rsidR="002A217B">
        <w:rPr>
          <w:b/>
        </w:rPr>
        <w:t>11.7</w:t>
      </w:r>
      <w:r w:rsidR="00156FBC" w:rsidRPr="00BE2171">
        <w:t>%</w:t>
      </w:r>
      <w:r w:rsidR="002C2F0E" w:rsidRPr="00BE2171">
        <w:t>.</w:t>
      </w:r>
    </w:p>
    <w:p w14:paraId="52DEB4DE" w14:textId="77777777" w:rsidR="0012092B" w:rsidRDefault="0012092B" w:rsidP="004B6730">
      <w:pPr>
        <w:shd w:val="clear" w:color="auto" w:fill="FFFFFF"/>
        <w:spacing w:after="0" w:line="240" w:lineRule="auto"/>
      </w:pPr>
    </w:p>
    <w:p w14:paraId="44CD9538" w14:textId="1D34D542" w:rsidR="0012092B" w:rsidRDefault="00BE2171" w:rsidP="004B6730">
      <w:pPr>
        <w:shd w:val="clear" w:color="auto" w:fill="FFFFFF"/>
        <w:spacing w:after="0" w:line="240" w:lineRule="auto"/>
      </w:pPr>
      <w:r w:rsidRPr="0012092B">
        <w:rPr>
          <w:color w:val="000000" w:themeColor="text1"/>
        </w:rPr>
        <w:t>Based on the two-category ethnicity breakdown (</w:t>
      </w:r>
      <w:r w:rsidR="0012092B">
        <w:rPr>
          <w:color w:val="000000" w:themeColor="text1"/>
        </w:rPr>
        <w:t xml:space="preserve">that is </w:t>
      </w:r>
      <w:r w:rsidR="0021646C">
        <w:rPr>
          <w:color w:val="000000" w:themeColor="text1"/>
        </w:rPr>
        <w:t>white</w:t>
      </w:r>
      <w:r w:rsidR="0012092B">
        <w:rPr>
          <w:rFonts w:eastAsia="Times New Roman" w:cs="Times New Roman"/>
          <w:color w:val="000000" w:themeColor="text1"/>
          <w:lang w:eastAsia="en-GB"/>
        </w:rPr>
        <w:t>,</w:t>
      </w:r>
      <w:r w:rsidRPr="0012092B">
        <w:rPr>
          <w:rFonts w:eastAsia="Times New Roman" w:cs="Times New Roman"/>
          <w:color w:val="000000" w:themeColor="text1"/>
          <w:lang w:eastAsia="en-GB"/>
        </w:rPr>
        <w:t xml:space="preserve"> including White British and White Other</w:t>
      </w:r>
      <w:r w:rsidR="0012092B">
        <w:rPr>
          <w:rFonts w:eastAsia="Times New Roman" w:cs="Times New Roman"/>
          <w:color w:val="000000" w:themeColor="text1"/>
          <w:lang w:eastAsia="en-GB"/>
        </w:rPr>
        <w:t>,</w:t>
      </w:r>
      <w:r w:rsidRPr="0012092B">
        <w:rPr>
          <w:rFonts w:eastAsia="Times New Roman" w:cs="Times New Roman"/>
          <w:color w:val="000000" w:themeColor="text1"/>
          <w:lang w:eastAsia="en-GB"/>
        </w:rPr>
        <w:t xml:space="preserve"> and </w:t>
      </w:r>
      <w:r w:rsidR="0012092B">
        <w:rPr>
          <w:rFonts w:eastAsia="Times New Roman" w:cs="Times New Roman"/>
          <w:color w:val="000000" w:themeColor="text1"/>
          <w:lang w:eastAsia="en-GB"/>
        </w:rPr>
        <w:t>BAME</w:t>
      </w:r>
      <w:r w:rsidR="002008A8">
        <w:rPr>
          <w:rFonts w:eastAsia="Times New Roman" w:cs="Times New Roman"/>
          <w:color w:val="000000" w:themeColor="text1"/>
          <w:lang w:eastAsia="en-GB"/>
        </w:rPr>
        <w:t xml:space="preserve"> groups</w:t>
      </w:r>
      <w:r w:rsidRPr="0012092B">
        <w:rPr>
          <w:rFonts w:eastAsia="Times New Roman" w:cs="Times New Roman"/>
          <w:color w:val="000000" w:themeColor="text1"/>
          <w:lang w:eastAsia="en-GB"/>
        </w:rPr>
        <w:t>)</w:t>
      </w:r>
      <w:r w:rsidRPr="0012092B">
        <w:rPr>
          <w:color w:val="000000" w:themeColor="text1"/>
        </w:rPr>
        <w:t xml:space="preserve"> th</w:t>
      </w:r>
      <w:r w:rsidR="00CE0749" w:rsidRPr="0012092B">
        <w:rPr>
          <w:color w:val="000000" w:themeColor="text1"/>
        </w:rPr>
        <w:t>i</w:t>
      </w:r>
      <w:r w:rsidR="00CE0749" w:rsidRPr="00BE2171">
        <w:t xml:space="preserve">s </w:t>
      </w:r>
      <w:r w:rsidR="000B18B1">
        <w:t xml:space="preserve">is </w:t>
      </w:r>
      <w:r w:rsidR="00E82FBA">
        <w:t xml:space="preserve">more </w:t>
      </w:r>
      <w:r w:rsidR="002C65FD">
        <w:t xml:space="preserve">aligned to </w:t>
      </w:r>
      <w:r w:rsidR="002C65FD" w:rsidRPr="00BE2171">
        <w:t xml:space="preserve">West Midland’s rates </w:t>
      </w:r>
      <w:r w:rsidR="00C42DE4">
        <w:t>(</w:t>
      </w:r>
      <w:r w:rsidR="002C65FD">
        <w:t>9.5</w:t>
      </w:r>
      <w:r w:rsidR="002C65FD" w:rsidRPr="00BE2171">
        <w:t>% gap</w:t>
      </w:r>
      <w:r w:rsidR="00C42DE4">
        <w:t>)</w:t>
      </w:r>
      <w:r w:rsidR="002C65FD" w:rsidRPr="00BE2171">
        <w:t xml:space="preserve"> </w:t>
      </w:r>
      <w:r w:rsidR="00E82FBA">
        <w:t xml:space="preserve">than </w:t>
      </w:r>
      <w:r w:rsidR="000B18B1">
        <w:t xml:space="preserve">the </w:t>
      </w:r>
      <w:r w:rsidR="00C42DE4">
        <w:t>2019</w:t>
      </w:r>
      <w:r w:rsidR="00EB769B">
        <w:t xml:space="preserve"> </w:t>
      </w:r>
      <w:r w:rsidR="00EB769B" w:rsidRPr="00BE2171">
        <w:t xml:space="preserve">national rates of </w:t>
      </w:r>
      <w:r w:rsidR="00EB769B">
        <w:t>2</w:t>
      </w:r>
      <w:r w:rsidR="00EB769B" w:rsidRPr="00BE2171">
        <w:t>.</w:t>
      </w:r>
      <w:r w:rsidR="00EB769B">
        <w:t>3%</w:t>
      </w:r>
      <w:r w:rsidR="002C65FD">
        <w:t xml:space="preserve">. </w:t>
      </w:r>
      <w:r w:rsidRPr="00BE2171">
        <w:t xml:space="preserve">(See </w:t>
      </w:r>
      <w:hyperlink r:id="rId12" w:anchor="analysis-of-ethnicity-pay-gaps" w:history="1">
        <w:r w:rsidRPr="00BE2171">
          <w:rPr>
            <w:rStyle w:val="Hyperlink"/>
          </w:rPr>
          <w:t>here</w:t>
        </w:r>
      </w:hyperlink>
      <w:r w:rsidRPr="00BE2171">
        <w:t>)</w:t>
      </w:r>
      <w:r w:rsidR="004B6730">
        <w:t xml:space="preserve">. </w:t>
      </w:r>
    </w:p>
    <w:p w14:paraId="1DE266C1" w14:textId="77777777" w:rsidR="0012092B" w:rsidRDefault="0012092B" w:rsidP="004B6730">
      <w:pPr>
        <w:shd w:val="clear" w:color="auto" w:fill="FFFFFF"/>
        <w:spacing w:after="0" w:line="240" w:lineRule="auto"/>
      </w:pPr>
    </w:p>
    <w:p w14:paraId="3CE6A674" w14:textId="10461A4A" w:rsidR="00574CE0" w:rsidRDefault="00033348" w:rsidP="00574CE0">
      <w:pPr>
        <w:shd w:val="clear" w:color="auto" w:fill="FFFFFF"/>
        <w:spacing w:after="0" w:line="240" w:lineRule="auto"/>
      </w:pPr>
      <w:r>
        <w:rPr>
          <w:szCs w:val="27"/>
          <w:shd w:val="clear" w:color="auto" w:fill="FFFFFF"/>
        </w:rPr>
        <w:t xml:space="preserve">In March 2021 </w:t>
      </w:r>
      <w:proofErr w:type="spellStart"/>
      <w:r>
        <w:rPr>
          <w:szCs w:val="27"/>
          <w:shd w:val="clear" w:color="auto" w:fill="FFFFFF"/>
        </w:rPr>
        <w:t>BMet’s</w:t>
      </w:r>
      <w:proofErr w:type="spellEnd"/>
      <w:r>
        <w:rPr>
          <w:szCs w:val="27"/>
          <w:shd w:val="clear" w:color="auto" w:fill="FFFFFF"/>
        </w:rPr>
        <w:t xml:space="preserve"> employees constituted </w:t>
      </w:r>
      <w:r w:rsidRPr="00CA20C2">
        <w:rPr>
          <w:szCs w:val="27"/>
          <w:shd w:val="clear" w:color="auto" w:fill="FFFFFF"/>
        </w:rPr>
        <w:t>5</w:t>
      </w:r>
      <w:r w:rsidR="00CA20C2" w:rsidRPr="00CA20C2">
        <w:rPr>
          <w:szCs w:val="27"/>
          <w:shd w:val="clear" w:color="auto" w:fill="FFFFFF"/>
        </w:rPr>
        <w:t>1.5</w:t>
      </w:r>
      <w:r w:rsidRPr="00CA20C2">
        <w:rPr>
          <w:szCs w:val="27"/>
          <w:shd w:val="clear" w:color="auto" w:fill="FFFFFF"/>
        </w:rPr>
        <w:t>%</w:t>
      </w:r>
      <w:r>
        <w:rPr>
          <w:szCs w:val="27"/>
          <w:shd w:val="clear" w:color="auto" w:fill="FFFFFF"/>
        </w:rPr>
        <w:t xml:space="preserve"> White British, </w:t>
      </w:r>
      <w:r w:rsidRPr="00094311">
        <w:rPr>
          <w:szCs w:val="27"/>
          <w:shd w:val="clear" w:color="auto" w:fill="FFFFFF"/>
        </w:rPr>
        <w:t>2.</w:t>
      </w:r>
      <w:r w:rsidR="00094311" w:rsidRPr="00094311">
        <w:rPr>
          <w:szCs w:val="27"/>
          <w:shd w:val="clear" w:color="auto" w:fill="FFFFFF"/>
        </w:rPr>
        <w:t>4</w:t>
      </w:r>
      <w:r w:rsidRPr="00094311">
        <w:rPr>
          <w:szCs w:val="27"/>
          <w:shd w:val="clear" w:color="auto" w:fill="FFFFFF"/>
        </w:rPr>
        <w:t>% White Other and 2</w:t>
      </w:r>
      <w:r w:rsidR="00094311" w:rsidRPr="00094311">
        <w:rPr>
          <w:szCs w:val="27"/>
          <w:shd w:val="clear" w:color="auto" w:fill="FFFFFF"/>
        </w:rPr>
        <w:t>4</w:t>
      </w:r>
      <w:r w:rsidRPr="00094311">
        <w:rPr>
          <w:szCs w:val="27"/>
          <w:shd w:val="clear" w:color="auto" w:fill="FFFFFF"/>
        </w:rPr>
        <w:t>.</w:t>
      </w:r>
      <w:r w:rsidR="00094311" w:rsidRPr="00094311">
        <w:rPr>
          <w:szCs w:val="27"/>
          <w:shd w:val="clear" w:color="auto" w:fill="FFFFFF"/>
        </w:rPr>
        <w:t>0</w:t>
      </w:r>
      <w:r w:rsidRPr="00094311">
        <w:rPr>
          <w:szCs w:val="27"/>
          <w:shd w:val="clear" w:color="auto" w:fill="FFFFFF"/>
        </w:rPr>
        <w:t>%</w:t>
      </w:r>
      <w:r>
        <w:rPr>
          <w:szCs w:val="27"/>
          <w:shd w:val="clear" w:color="auto" w:fill="FFFFFF"/>
        </w:rPr>
        <w:t xml:space="preserve"> BAME</w:t>
      </w:r>
      <w:r w:rsidRPr="00C81EB5">
        <w:rPr>
          <w:szCs w:val="27"/>
          <w:shd w:val="clear" w:color="auto" w:fill="FFFFFF"/>
        </w:rPr>
        <w:t xml:space="preserve">. </w:t>
      </w:r>
      <w:r>
        <w:rPr>
          <w:szCs w:val="27"/>
          <w:shd w:val="clear" w:color="auto" w:fill="FFFFFF"/>
        </w:rPr>
        <w:t xml:space="preserve"> </w:t>
      </w:r>
      <w:r w:rsidR="00574CE0">
        <w:t xml:space="preserve">The most recent census data, which is from 2011, provides the following for the West Midlands: 79.2% White British; 3.6% White Other; and 15.3% BAME. </w:t>
      </w:r>
      <w:r w:rsidR="00574CE0" w:rsidRPr="00D46569">
        <w:t xml:space="preserve">When compared with more current data from other institutions in Birmingham, </w:t>
      </w:r>
      <w:proofErr w:type="spellStart"/>
      <w:r w:rsidR="00574CE0" w:rsidRPr="00D46569">
        <w:t>BMet’s</w:t>
      </w:r>
      <w:proofErr w:type="spellEnd"/>
      <w:r w:rsidR="00574CE0" w:rsidRPr="00D46569">
        <w:t xml:space="preserve"> workforce profile is </w:t>
      </w:r>
      <w:proofErr w:type="gramStart"/>
      <w:r w:rsidR="00574CE0" w:rsidRPr="00D46569">
        <w:t>similar to</w:t>
      </w:r>
      <w:proofErr w:type="gramEnd"/>
      <w:r w:rsidR="00574CE0" w:rsidRPr="00D46569">
        <w:t xml:space="preserve"> that reported for 2019 by both Birmingham University</w:t>
      </w:r>
      <w:r w:rsidR="00E14683" w:rsidRPr="00D46569">
        <w:t xml:space="preserve"> (20.4%) </w:t>
      </w:r>
      <w:r w:rsidR="00574CE0" w:rsidRPr="00D46569">
        <w:t>and Birmingham City University</w:t>
      </w:r>
      <w:r w:rsidR="00DC7BF2" w:rsidRPr="00D46569">
        <w:t xml:space="preserve"> (23.4%)</w:t>
      </w:r>
      <w:r w:rsidR="00574CE0" w:rsidRPr="00574CE0">
        <w:rPr>
          <w:color w:val="FFC000"/>
        </w:rPr>
        <w:t xml:space="preserve">. </w:t>
      </w:r>
      <w:r w:rsidR="00574CE0" w:rsidRPr="0052637A">
        <w:t xml:space="preserve">The proportion of BAME employees is however lower than South &amp; City College </w:t>
      </w:r>
      <w:r w:rsidR="00574CE0" w:rsidRPr="002008A8">
        <w:t>and Joseph Chamberlain College who reported figures for 20</w:t>
      </w:r>
      <w:r w:rsidR="0052637A" w:rsidRPr="002008A8">
        <w:t>20</w:t>
      </w:r>
      <w:r w:rsidR="00574CE0" w:rsidRPr="002008A8">
        <w:t xml:space="preserve"> of </w:t>
      </w:r>
      <w:r w:rsidR="0069285C" w:rsidRPr="002008A8">
        <w:t>35%</w:t>
      </w:r>
      <w:r w:rsidR="00574CE0" w:rsidRPr="002008A8">
        <w:t xml:space="preserve"> and 43% respectively. </w:t>
      </w:r>
    </w:p>
    <w:p w14:paraId="66B5A6EC" w14:textId="77777777" w:rsidR="00574CE0" w:rsidRDefault="00574CE0" w:rsidP="00574CE0">
      <w:pPr>
        <w:shd w:val="clear" w:color="auto" w:fill="FFFFFF"/>
        <w:spacing w:after="0" w:line="240" w:lineRule="auto"/>
      </w:pPr>
    </w:p>
    <w:p w14:paraId="3ACE7400" w14:textId="66567C5B" w:rsidR="00FE676C" w:rsidRDefault="00207105" w:rsidP="001B03E8">
      <w:pPr>
        <w:shd w:val="clear" w:color="auto" w:fill="FFFFFF"/>
        <w:spacing w:after="0" w:line="240" w:lineRule="auto"/>
      </w:pPr>
      <w:r>
        <w:t xml:space="preserve">There has been an increase in numbers of BAME staff in 2021. </w:t>
      </w:r>
      <w:r w:rsidR="00574CE0">
        <w:t xml:space="preserve">As can be seen in </w:t>
      </w:r>
      <w:r w:rsidR="000A3E95" w:rsidRPr="000A3E95">
        <w:rPr>
          <w:i/>
          <w:iCs/>
        </w:rPr>
        <w:t>T</w:t>
      </w:r>
      <w:r w:rsidR="00574CE0" w:rsidRPr="000A3E95">
        <w:rPr>
          <w:i/>
          <w:iCs/>
        </w:rPr>
        <w:t>able 3</w:t>
      </w:r>
      <w:r w:rsidR="00574CE0">
        <w:t xml:space="preserve"> and </w:t>
      </w:r>
      <w:r w:rsidR="000A3E95" w:rsidRPr="000A3E95">
        <w:rPr>
          <w:i/>
          <w:iCs/>
        </w:rPr>
        <w:t xml:space="preserve">Table </w:t>
      </w:r>
      <w:r w:rsidR="00574CE0" w:rsidRPr="000A3E95">
        <w:rPr>
          <w:i/>
          <w:iCs/>
        </w:rPr>
        <w:t>4</w:t>
      </w:r>
      <w:r w:rsidR="00574CE0">
        <w:t xml:space="preserve">, there is under-representation of staff from a Black, Asian and Minority Ethnic background in the upper quartile but good representation in the upper middle quartile. </w:t>
      </w:r>
      <w:r w:rsidR="00EB769B">
        <w:t>The shift in the median pay gap from 20</w:t>
      </w:r>
      <w:r w:rsidR="00E40110">
        <w:t>20</w:t>
      </w:r>
      <w:r w:rsidR="00EB769B">
        <w:t xml:space="preserve"> and </w:t>
      </w:r>
      <w:r w:rsidR="007F0447">
        <w:t xml:space="preserve">the widening of </w:t>
      </w:r>
      <w:r w:rsidR="00EB769B">
        <w:t>the pay gap</w:t>
      </w:r>
      <w:r w:rsidR="00FE676C">
        <w:t xml:space="preserve"> from (2.4</w:t>
      </w:r>
      <w:r w:rsidR="007F0447">
        <w:t xml:space="preserve"> to 11.7%</w:t>
      </w:r>
      <w:r w:rsidR="00FE676C">
        <w:t>)</w:t>
      </w:r>
      <w:r w:rsidR="00EB769B">
        <w:t xml:space="preserve"> </w:t>
      </w:r>
      <w:r>
        <w:t xml:space="preserve">can be </w:t>
      </w:r>
      <w:r w:rsidR="00B66C83">
        <w:t>largely</w:t>
      </w:r>
      <w:r>
        <w:t xml:space="preserve"> attributed to</w:t>
      </w:r>
      <w:r w:rsidR="00ED718D">
        <w:t xml:space="preserve"> the following</w:t>
      </w:r>
      <w:r>
        <w:t>:</w:t>
      </w:r>
    </w:p>
    <w:p w14:paraId="4C3C52D9" w14:textId="3F4B1500" w:rsidR="009C599D" w:rsidRDefault="009C599D" w:rsidP="001B03E8">
      <w:pPr>
        <w:shd w:val="clear" w:color="auto" w:fill="FFFFFF"/>
        <w:spacing w:after="0" w:line="240" w:lineRule="auto"/>
      </w:pPr>
    </w:p>
    <w:p w14:paraId="48CFD231" w14:textId="051420D5" w:rsidR="001F3B53" w:rsidRDefault="006C65EA" w:rsidP="004D38C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14" w:hanging="357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>the proportion of B</w:t>
      </w:r>
      <w:r w:rsidR="00F1502A">
        <w:rPr>
          <w:rStyle w:val="A4"/>
          <w:sz w:val="22"/>
          <w:szCs w:val="22"/>
        </w:rPr>
        <w:t>AME</w:t>
      </w:r>
      <w:r>
        <w:rPr>
          <w:rStyle w:val="A4"/>
          <w:sz w:val="22"/>
          <w:szCs w:val="22"/>
        </w:rPr>
        <w:t xml:space="preserve"> staff has increased in all quartiles but </w:t>
      </w:r>
      <w:r w:rsidR="00FE2A76">
        <w:rPr>
          <w:rStyle w:val="A4"/>
          <w:sz w:val="22"/>
          <w:szCs w:val="22"/>
        </w:rPr>
        <w:t xml:space="preserve">there has been </w:t>
      </w:r>
      <w:r>
        <w:rPr>
          <w:rStyle w:val="A4"/>
          <w:sz w:val="22"/>
          <w:szCs w:val="22"/>
        </w:rPr>
        <w:t>a greater increase in</w:t>
      </w:r>
      <w:r w:rsidR="00F1502A">
        <w:rPr>
          <w:rStyle w:val="A4"/>
          <w:sz w:val="22"/>
          <w:szCs w:val="22"/>
        </w:rPr>
        <w:t xml:space="preserve"> the lower and upper middle</w:t>
      </w:r>
    </w:p>
    <w:p w14:paraId="7650C2B6" w14:textId="77777777" w:rsidR="00845468" w:rsidRDefault="009435F9" w:rsidP="00354E05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14" w:hanging="357"/>
        <w:rPr>
          <w:rStyle w:val="A4"/>
          <w:sz w:val="22"/>
          <w:szCs w:val="22"/>
        </w:rPr>
      </w:pPr>
      <w:r w:rsidRPr="0051561B">
        <w:rPr>
          <w:rStyle w:val="A4"/>
          <w:sz w:val="22"/>
          <w:szCs w:val="22"/>
        </w:rPr>
        <w:t xml:space="preserve">an uneven </w:t>
      </w:r>
      <w:r w:rsidR="004D38C0" w:rsidRPr="0051561B">
        <w:rPr>
          <w:rStyle w:val="A4"/>
          <w:sz w:val="22"/>
          <w:szCs w:val="22"/>
        </w:rPr>
        <w:t>di</w:t>
      </w:r>
      <w:r w:rsidR="00F96974" w:rsidRPr="0051561B">
        <w:rPr>
          <w:rStyle w:val="A4"/>
          <w:sz w:val="22"/>
          <w:szCs w:val="22"/>
        </w:rPr>
        <w:t>stribut</w:t>
      </w:r>
      <w:r w:rsidR="004D38C0" w:rsidRPr="0051561B">
        <w:rPr>
          <w:rStyle w:val="A4"/>
          <w:sz w:val="22"/>
          <w:szCs w:val="22"/>
        </w:rPr>
        <w:t>ion of white staff a</w:t>
      </w:r>
      <w:r w:rsidR="00F96974" w:rsidRPr="0051561B">
        <w:rPr>
          <w:rStyle w:val="A4"/>
          <w:sz w:val="22"/>
          <w:szCs w:val="22"/>
        </w:rPr>
        <w:t>cross quartiles compared to previous years</w:t>
      </w:r>
      <w:r w:rsidR="009315DB" w:rsidRPr="0051561B">
        <w:rPr>
          <w:rStyle w:val="A4"/>
          <w:sz w:val="22"/>
          <w:szCs w:val="22"/>
        </w:rPr>
        <w:t xml:space="preserve">; </w:t>
      </w:r>
      <w:r w:rsidR="000017BB" w:rsidRPr="0051561B">
        <w:rPr>
          <w:rStyle w:val="A4"/>
          <w:sz w:val="22"/>
          <w:szCs w:val="22"/>
        </w:rPr>
        <w:t xml:space="preserve">with an increasing </w:t>
      </w:r>
      <w:r w:rsidR="00B838D7">
        <w:rPr>
          <w:rStyle w:val="A4"/>
          <w:sz w:val="22"/>
          <w:szCs w:val="22"/>
        </w:rPr>
        <w:t>percentage</w:t>
      </w:r>
      <w:r w:rsidR="000017BB" w:rsidRPr="0051561B">
        <w:rPr>
          <w:rStyle w:val="A4"/>
          <w:sz w:val="22"/>
          <w:szCs w:val="22"/>
        </w:rPr>
        <w:t xml:space="preserve"> of white staff </w:t>
      </w:r>
      <w:r w:rsidR="00192B2E" w:rsidRPr="0051561B">
        <w:rPr>
          <w:rStyle w:val="A4"/>
          <w:sz w:val="22"/>
          <w:szCs w:val="22"/>
        </w:rPr>
        <w:t xml:space="preserve">from </w:t>
      </w:r>
      <w:r w:rsidR="00547775" w:rsidRPr="0051561B">
        <w:rPr>
          <w:rStyle w:val="A4"/>
          <w:sz w:val="22"/>
          <w:szCs w:val="22"/>
        </w:rPr>
        <w:t>the lower</w:t>
      </w:r>
      <w:r w:rsidR="00192B2E" w:rsidRPr="0051561B">
        <w:rPr>
          <w:rStyle w:val="A4"/>
          <w:sz w:val="22"/>
          <w:szCs w:val="22"/>
        </w:rPr>
        <w:t xml:space="preserve">, lower </w:t>
      </w:r>
      <w:r w:rsidR="00547775" w:rsidRPr="0051561B">
        <w:rPr>
          <w:rStyle w:val="A4"/>
          <w:sz w:val="22"/>
          <w:szCs w:val="22"/>
        </w:rPr>
        <w:t>middle to upper quartiles</w:t>
      </w:r>
    </w:p>
    <w:p w14:paraId="69E4538B" w14:textId="2E94FF0B" w:rsidR="007A582B" w:rsidRPr="002674C3" w:rsidRDefault="00622E67" w:rsidP="005F3EF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14" w:hanging="357"/>
        <w:rPr>
          <w:rStyle w:val="A4"/>
          <w:sz w:val="22"/>
          <w:szCs w:val="22"/>
        </w:rPr>
      </w:pPr>
      <w:r w:rsidRPr="002674C3">
        <w:rPr>
          <w:rStyle w:val="A4"/>
          <w:sz w:val="22"/>
          <w:szCs w:val="22"/>
        </w:rPr>
        <w:t>there has been a reduction in the proportion of white staff in the lower quartile and an increase in the proportion of white staff in the upper quartile</w:t>
      </w:r>
      <w:r w:rsidR="0090648D" w:rsidRPr="002674C3">
        <w:rPr>
          <w:rStyle w:val="A4"/>
          <w:sz w:val="22"/>
          <w:szCs w:val="22"/>
        </w:rPr>
        <w:t xml:space="preserve">. This is linked to the recruitment of </w:t>
      </w:r>
      <w:r w:rsidR="009A2958" w:rsidRPr="009A2958">
        <w:t>69 Hourly Paid Associates for the Covid-19 Mass Testing Programme</w:t>
      </w:r>
      <w:r w:rsidR="009A2958" w:rsidRPr="002674C3">
        <w:rPr>
          <w:b/>
          <w:bCs/>
        </w:rPr>
        <w:t xml:space="preserve"> </w:t>
      </w:r>
      <w:r w:rsidR="0090648D" w:rsidRPr="002674C3">
        <w:rPr>
          <w:rStyle w:val="A4"/>
          <w:sz w:val="22"/>
          <w:szCs w:val="22"/>
        </w:rPr>
        <w:t xml:space="preserve">which has changed quartile </w:t>
      </w:r>
      <w:r w:rsidR="0090648D" w:rsidRPr="00D83162">
        <w:rPr>
          <w:rStyle w:val="A4"/>
          <w:sz w:val="22"/>
          <w:szCs w:val="22"/>
        </w:rPr>
        <w:t>boundaries</w:t>
      </w:r>
      <w:r w:rsidR="002674C3">
        <w:t xml:space="preserve">. </w:t>
      </w:r>
      <w:r w:rsidR="00165F5E" w:rsidRPr="002674C3">
        <w:rPr>
          <w:rStyle w:val="A4"/>
          <w:sz w:val="22"/>
          <w:szCs w:val="22"/>
        </w:rPr>
        <w:t xml:space="preserve"> </w:t>
      </w:r>
      <w:r w:rsidR="006E68BE" w:rsidRPr="002674C3">
        <w:rPr>
          <w:rStyle w:val="A4"/>
          <w:i/>
          <w:iCs/>
          <w:sz w:val="22"/>
          <w:szCs w:val="22"/>
        </w:rPr>
        <w:t xml:space="preserve">Table </w:t>
      </w:r>
      <w:r w:rsidR="0089376C" w:rsidRPr="002674C3">
        <w:rPr>
          <w:rStyle w:val="A4"/>
          <w:i/>
          <w:iCs/>
          <w:sz w:val="22"/>
          <w:szCs w:val="22"/>
        </w:rPr>
        <w:t>5</w:t>
      </w:r>
      <w:r w:rsidR="006E68BE" w:rsidRPr="002674C3">
        <w:rPr>
          <w:rStyle w:val="A4"/>
          <w:sz w:val="22"/>
          <w:szCs w:val="22"/>
        </w:rPr>
        <w:t xml:space="preserve"> illustrates this using the </w:t>
      </w:r>
      <w:r w:rsidR="002F7061" w:rsidRPr="002674C3">
        <w:rPr>
          <w:rStyle w:val="A4"/>
          <w:sz w:val="22"/>
          <w:szCs w:val="22"/>
        </w:rPr>
        <w:t xml:space="preserve">hourly rate of £21.21 as </w:t>
      </w:r>
      <w:r w:rsidR="002F7061" w:rsidRPr="002674C3">
        <w:rPr>
          <w:rStyle w:val="A4"/>
          <w:sz w:val="22"/>
          <w:szCs w:val="22"/>
        </w:rPr>
        <w:lastRenderedPageBreak/>
        <w:t>an example. Whilst the number of st</w:t>
      </w:r>
      <w:r w:rsidR="007B0172" w:rsidRPr="002674C3">
        <w:rPr>
          <w:rStyle w:val="A4"/>
          <w:sz w:val="22"/>
          <w:szCs w:val="22"/>
        </w:rPr>
        <w:t xml:space="preserve">aff </w:t>
      </w:r>
      <w:r w:rsidR="00130FC4" w:rsidRPr="002674C3">
        <w:rPr>
          <w:rStyle w:val="A4"/>
          <w:sz w:val="22"/>
          <w:szCs w:val="22"/>
        </w:rPr>
        <w:t xml:space="preserve">and the percentage of BAME and </w:t>
      </w:r>
      <w:r w:rsidR="00640774" w:rsidRPr="002674C3">
        <w:rPr>
          <w:rStyle w:val="A4"/>
          <w:sz w:val="22"/>
          <w:szCs w:val="22"/>
        </w:rPr>
        <w:t>w</w:t>
      </w:r>
      <w:r w:rsidR="00130FC4" w:rsidRPr="002674C3">
        <w:rPr>
          <w:rStyle w:val="A4"/>
          <w:sz w:val="22"/>
          <w:szCs w:val="22"/>
        </w:rPr>
        <w:t>hite staff</w:t>
      </w:r>
      <w:r w:rsidR="007B0172" w:rsidRPr="002674C3">
        <w:rPr>
          <w:rStyle w:val="A4"/>
          <w:sz w:val="22"/>
          <w:szCs w:val="22"/>
        </w:rPr>
        <w:t xml:space="preserve"> on this rate</w:t>
      </w:r>
      <w:r w:rsidR="00130FC4" w:rsidRPr="002674C3">
        <w:rPr>
          <w:rStyle w:val="A4"/>
          <w:sz w:val="22"/>
          <w:szCs w:val="22"/>
        </w:rPr>
        <w:t xml:space="preserve"> </w:t>
      </w:r>
      <w:r w:rsidR="00910472" w:rsidRPr="002674C3">
        <w:rPr>
          <w:rStyle w:val="A4"/>
          <w:sz w:val="22"/>
          <w:szCs w:val="22"/>
        </w:rPr>
        <w:t xml:space="preserve">remains similar between years </w:t>
      </w:r>
      <w:r w:rsidR="004551A7" w:rsidRPr="002674C3">
        <w:rPr>
          <w:rStyle w:val="A4"/>
          <w:sz w:val="22"/>
          <w:szCs w:val="22"/>
        </w:rPr>
        <w:t xml:space="preserve">64% </w:t>
      </w:r>
      <w:r w:rsidR="00BE3EE6" w:rsidRPr="002674C3">
        <w:rPr>
          <w:rStyle w:val="A4"/>
          <w:sz w:val="22"/>
          <w:szCs w:val="22"/>
        </w:rPr>
        <w:t xml:space="preserve">are now found in the upper quartile compared to </w:t>
      </w:r>
      <w:r w:rsidR="000A7FEC" w:rsidRPr="002674C3">
        <w:rPr>
          <w:rStyle w:val="A4"/>
          <w:sz w:val="22"/>
          <w:szCs w:val="22"/>
        </w:rPr>
        <w:t>26% in 2020.</w:t>
      </w:r>
      <w:r w:rsidR="0089302F" w:rsidRPr="002674C3">
        <w:rPr>
          <w:rStyle w:val="A4"/>
          <w:sz w:val="22"/>
          <w:szCs w:val="22"/>
        </w:rPr>
        <w:t xml:space="preserve"> </w:t>
      </w:r>
      <w:r w:rsidR="007D6D8B">
        <w:rPr>
          <w:rStyle w:val="A4"/>
          <w:sz w:val="22"/>
          <w:szCs w:val="22"/>
        </w:rPr>
        <w:t xml:space="preserve"> </w:t>
      </w:r>
      <w:bookmarkStart w:id="0" w:name="_GoBack"/>
      <w:r w:rsidR="007D6D8B">
        <w:rPr>
          <w:rStyle w:val="A4"/>
          <w:sz w:val="22"/>
          <w:szCs w:val="22"/>
        </w:rPr>
        <w:t>W</w:t>
      </w:r>
      <w:r w:rsidR="007D6D8B" w:rsidRPr="00D83162">
        <w:t>hen</w:t>
      </w:r>
      <w:r w:rsidR="007D6D8B" w:rsidRPr="002674C3">
        <w:t xml:space="preserve"> we remove </w:t>
      </w:r>
      <w:r w:rsidR="007D6D8B">
        <w:t xml:space="preserve">the 69 Hourly Paid Associates from the calculations </w:t>
      </w:r>
      <w:r w:rsidR="007D6D8B" w:rsidRPr="002674C3">
        <w:t>the pay gap narrows to 8.1% median</w:t>
      </w:r>
      <w:r w:rsidR="00A5004A">
        <w:t xml:space="preserve"> and there is a more even distribution of white and BAME workers in the lower quartile.</w:t>
      </w:r>
    </w:p>
    <w:bookmarkEnd w:id="0"/>
    <w:p w14:paraId="551503EB" w14:textId="77777777" w:rsidR="000C6D1B" w:rsidRPr="0051561B" w:rsidRDefault="000C6D1B" w:rsidP="000C6D1B">
      <w:pPr>
        <w:pStyle w:val="ListParagraph"/>
        <w:shd w:val="clear" w:color="auto" w:fill="FFFFFF"/>
        <w:spacing w:after="0" w:line="240" w:lineRule="auto"/>
        <w:ind w:left="714"/>
        <w:rPr>
          <w:rStyle w:val="A4"/>
          <w:sz w:val="22"/>
          <w:szCs w:val="22"/>
        </w:rPr>
      </w:pPr>
    </w:p>
    <w:p w14:paraId="0796127A" w14:textId="34ABC624" w:rsidR="000A7FEC" w:rsidRPr="0001317C" w:rsidRDefault="000A7FEC" w:rsidP="000A7FEC">
      <w:r w:rsidRPr="000A7FEC">
        <w:rPr>
          <w:i/>
          <w:sz w:val="20"/>
          <w:u w:val="single"/>
        </w:rPr>
        <w:t xml:space="preserve">Table 5 </w:t>
      </w:r>
      <w:r>
        <w:rPr>
          <w:i/>
          <w:sz w:val="20"/>
          <w:u w:val="single"/>
        </w:rPr>
        <w:t>Illustrating the shift in quar</w:t>
      </w:r>
      <w:r w:rsidR="00323A5E">
        <w:rPr>
          <w:i/>
          <w:sz w:val="20"/>
          <w:u w:val="single"/>
        </w:rPr>
        <w:t>tile boundaries with</w:t>
      </w:r>
      <w:r w:rsidR="005D057E">
        <w:rPr>
          <w:i/>
          <w:sz w:val="20"/>
          <w:u w:val="single"/>
        </w:rPr>
        <w:t xml:space="preserve"> the</w:t>
      </w:r>
      <w:r w:rsidR="00323A5E">
        <w:rPr>
          <w:i/>
          <w:sz w:val="20"/>
          <w:u w:val="single"/>
        </w:rPr>
        <w:t xml:space="preserve"> hourly rate of £21.21</w:t>
      </w:r>
      <w:r w:rsidR="00943575">
        <w:rPr>
          <w:i/>
          <w:sz w:val="20"/>
          <w:u w:val="single"/>
        </w:rPr>
        <w:t xml:space="preserve"> </w:t>
      </w:r>
      <w:r w:rsidR="005D057E">
        <w:rPr>
          <w:i/>
          <w:sz w:val="20"/>
          <w:u w:val="single"/>
        </w:rPr>
        <w:t>and</w:t>
      </w:r>
      <w:r w:rsidR="00943575">
        <w:rPr>
          <w:i/>
          <w:sz w:val="20"/>
          <w:u w:val="single"/>
        </w:rPr>
        <w:t xml:space="preserve"> numbers of staff</w:t>
      </w:r>
      <w:r w:rsidR="005D057E">
        <w:rPr>
          <w:i/>
          <w:sz w:val="20"/>
          <w:u w:val="single"/>
        </w:rPr>
        <w:t xml:space="preserve"> across 2 years</w:t>
      </w:r>
    </w:p>
    <w:p w14:paraId="1171E540" w14:textId="5DEED216" w:rsidR="004A5BDA" w:rsidRPr="004A5BDA" w:rsidRDefault="004A5BDA" w:rsidP="004A5BDA">
      <w:pPr>
        <w:shd w:val="clear" w:color="auto" w:fill="FFFFFF"/>
        <w:spacing w:after="0" w:line="240" w:lineRule="auto"/>
        <w:rPr>
          <w:rStyle w:val="A4"/>
          <w:sz w:val="22"/>
          <w:szCs w:val="22"/>
        </w:rPr>
      </w:pPr>
    </w:p>
    <w:tbl>
      <w:tblPr>
        <w:tblStyle w:val="TableGrid"/>
        <w:tblW w:w="0" w:type="auto"/>
        <w:tblInd w:w="16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709"/>
        <w:gridCol w:w="709"/>
      </w:tblGrid>
      <w:tr w:rsidR="008162F1" w:rsidRPr="00640774" w14:paraId="0E4ABA8C" w14:textId="01603CA7" w:rsidTr="00BC08DC">
        <w:tc>
          <w:tcPr>
            <w:tcW w:w="2410" w:type="dxa"/>
            <w:shd w:val="clear" w:color="auto" w:fill="DDD9C3" w:themeFill="background2" w:themeFillShade="E6"/>
          </w:tcPr>
          <w:p w14:paraId="77F7D614" w14:textId="05254049" w:rsidR="008162F1" w:rsidRPr="00640774" w:rsidRDefault="008162F1" w:rsidP="00156FBC">
            <w:pPr>
              <w:rPr>
                <w:b/>
                <w:bCs/>
                <w:sz w:val="20"/>
                <w:szCs w:val="20"/>
              </w:rPr>
            </w:pPr>
            <w:r w:rsidRPr="00640774">
              <w:rPr>
                <w:b/>
                <w:bCs/>
                <w:sz w:val="20"/>
                <w:szCs w:val="20"/>
              </w:rPr>
              <w:t>Hourly Rate £21.21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2B26E5CD" w14:textId="0F0A8E5C" w:rsidR="008162F1" w:rsidRPr="00640774" w:rsidRDefault="008162F1" w:rsidP="00156FBC">
            <w:pPr>
              <w:rPr>
                <w:b/>
                <w:bCs/>
                <w:sz w:val="20"/>
                <w:szCs w:val="20"/>
              </w:rPr>
            </w:pPr>
            <w:r w:rsidRPr="00640774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64037728" w14:textId="0C2219E8" w:rsidR="008162F1" w:rsidRPr="00640774" w:rsidRDefault="008162F1" w:rsidP="00156FBC">
            <w:pPr>
              <w:rPr>
                <w:b/>
                <w:bCs/>
                <w:sz w:val="20"/>
                <w:szCs w:val="20"/>
              </w:rPr>
            </w:pPr>
            <w:r w:rsidRPr="00640774"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8162F1" w:rsidRPr="00640774" w14:paraId="60AD36C7" w14:textId="45A3E622" w:rsidTr="00943575">
        <w:tc>
          <w:tcPr>
            <w:tcW w:w="2410" w:type="dxa"/>
          </w:tcPr>
          <w:p w14:paraId="39E1350D" w14:textId="6971AE7A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Total no of staff</w:t>
            </w:r>
          </w:p>
        </w:tc>
        <w:tc>
          <w:tcPr>
            <w:tcW w:w="709" w:type="dxa"/>
          </w:tcPr>
          <w:p w14:paraId="0FBCFFC7" w14:textId="786ADCBA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132</w:t>
            </w:r>
          </w:p>
        </w:tc>
        <w:tc>
          <w:tcPr>
            <w:tcW w:w="709" w:type="dxa"/>
          </w:tcPr>
          <w:p w14:paraId="3BC07D1E" w14:textId="217FC1E9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137</w:t>
            </w:r>
          </w:p>
        </w:tc>
      </w:tr>
      <w:tr w:rsidR="008162F1" w:rsidRPr="00640774" w14:paraId="47E548FD" w14:textId="52402C3E" w:rsidTr="00943575">
        <w:tc>
          <w:tcPr>
            <w:tcW w:w="2410" w:type="dxa"/>
          </w:tcPr>
          <w:p w14:paraId="6A7084D6" w14:textId="19233844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 xml:space="preserve">BAME </w:t>
            </w:r>
          </w:p>
        </w:tc>
        <w:tc>
          <w:tcPr>
            <w:tcW w:w="709" w:type="dxa"/>
          </w:tcPr>
          <w:p w14:paraId="79A4F203" w14:textId="5DA5E374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14:paraId="02EE2F94" w14:textId="0AE17276" w:rsidR="008162F1" w:rsidRPr="00640774" w:rsidRDefault="00FD2A50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40</w:t>
            </w:r>
          </w:p>
        </w:tc>
      </w:tr>
      <w:tr w:rsidR="008162F1" w:rsidRPr="00640774" w14:paraId="6F13159C" w14:textId="14473593" w:rsidTr="00943575">
        <w:tc>
          <w:tcPr>
            <w:tcW w:w="2410" w:type="dxa"/>
          </w:tcPr>
          <w:p w14:paraId="4FCF21C3" w14:textId="0BE8D61E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 xml:space="preserve">White </w:t>
            </w:r>
          </w:p>
        </w:tc>
        <w:tc>
          <w:tcPr>
            <w:tcW w:w="709" w:type="dxa"/>
          </w:tcPr>
          <w:p w14:paraId="584F2389" w14:textId="1F553A73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14:paraId="0ADF09D1" w14:textId="04B91CAB" w:rsidR="008162F1" w:rsidRPr="00640774" w:rsidRDefault="00FD2A50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89</w:t>
            </w:r>
          </w:p>
        </w:tc>
      </w:tr>
      <w:tr w:rsidR="008E1B74" w:rsidRPr="00640774" w14:paraId="7FAA9FF2" w14:textId="77777777" w:rsidTr="00943575">
        <w:tc>
          <w:tcPr>
            <w:tcW w:w="2410" w:type="dxa"/>
          </w:tcPr>
          <w:p w14:paraId="79B5B196" w14:textId="31822AA2" w:rsidR="008E1B74" w:rsidRPr="00640774" w:rsidRDefault="008E1B74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Not known</w:t>
            </w:r>
          </w:p>
        </w:tc>
        <w:tc>
          <w:tcPr>
            <w:tcW w:w="709" w:type="dxa"/>
          </w:tcPr>
          <w:p w14:paraId="4A6AB44A" w14:textId="45AAB3BA" w:rsidR="008E1B74" w:rsidRPr="00640774" w:rsidRDefault="008E1B74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7A934AD4" w14:textId="69AA4F22" w:rsidR="008E1B74" w:rsidRPr="00640774" w:rsidRDefault="008E1B74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8</w:t>
            </w:r>
          </w:p>
        </w:tc>
      </w:tr>
      <w:tr w:rsidR="008162F1" w:rsidRPr="00640774" w14:paraId="03A6C1E5" w14:textId="4D3534B5" w:rsidTr="00BC08DC">
        <w:tc>
          <w:tcPr>
            <w:tcW w:w="3119" w:type="dxa"/>
            <w:gridSpan w:val="2"/>
            <w:shd w:val="clear" w:color="auto" w:fill="EEECE1" w:themeFill="background2"/>
          </w:tcPr>
          <w:p w14:paraId="47903DFC" w14:textId="3ADC6376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b/>
                <w:bCs/>
                <w:sz w:val="20"/>
                <w:szCs w:val="20"/>
              </w:rPr>
              <w:t>Upper Quartile</w:t>
            </w:r>
            <w:r w:rsidR="00943575" w:rsidRPr="0064077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EEECE1" w:themeFill="background2"/>
          </w:tcPr>
          <w:p w14:paraId="0D33F32D" w14:textId="77777777" w:rsidR="008162F1" w:rsidRPr="00640774" w:rsidRDefault="008162F1" w:rsidP="00562D6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162F1" w:rsidRPr="00640774" w14:paraId="12525987" w14:textId="177189F8" w:rsidTr="00943575">
        <w:tc>
          <w:tcPr>
            <w:tcW w:w="2410" w:type="dxa"/>
          </w:tcPr>
          <w:p w14:paraId="1715F35E" w14:textId="61C1BF0F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 xml:space="preserve">Total </w:t>
            </w:r>
          </w:p>
        </w:tc>
        <w:tc>
          <w:tcPr>
            <w:tcW w:w="709" w:type="dxa"/>
          </w:tcPr>
          <w:p w14:paraId="4026247B" w14:textId="06346FDA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79C6AA0F" w14:textId="6911DD06" w:rsidR="008162F1" w:rsidRPr="00640774" w:rsidRDefault="00FD2A50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35</w:t>
            </w:r>
          </w:p>
        </w:tc>
      </w:tr>
      <w:tr w:rsidR="008162F1" w:rsidRPr="00640774" w14:paraId="263A995F" w14:textId="063B8C79" w:rsidTr="00943575">
        <w:tc>
          <w:tcPr>
            <w:tcW w:w="2410" w:type="dxa"/>
          </w:tcPr>
          <w:p w14:paraId="1DEE101C" w14:textId="03C0C51E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 xml:space="preserve">BAME </w:t>
            </w:r>
          </w:p>
        </w:tc>
        <w:tc>
          <w:tcPr>
            <w:tcW w:w="709" w:type="dxa"/>
          </w:tcPr>
          <w:p w14:paraId="50ECC47C" w14:textId="20E15EC5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14:paraId="3588BA93" w14:textId="04064D2E" w:rsidR="008162F1" w:rsidRPr="00640774" w:rsidRDefault="000F3AC6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10</w:t>
            </w:r>
          </w:p>
        </w:tc>
      </w:tr>
      <w:tr w:rsidR="008162F1" w:rsidRPr="00640774" w14:paraId="5F0BBF0C" w14:textId="3152A382" w:rsidTr="00943575">
        <w:tc>
          <w:tcPr>
            <w:tcW w:w="2410" w:type="dxa"/>
          </w:tcPr>
          <w:p w14:paraId="184BE330" w14:textId="1F5B8BB7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 xml:space="preserve">White </w:t>
            </w:r>
          </w:p>
        </w:tc>
        <w:tc>
          <w:tcPr>
            <w:tcW w:w="709" w:type="dxa"/>
          </w:tcPr>
          <w:p w14:paraId="32576D60" w14:textId="32C1AD73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14:paraId="4A577656" w14:textId="591DE0E0" w:rsidR="008162F1" w:rsidRPr="00640774" w:rsidRDefault="00AE3C89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23</w:t>
            </w:r>
          </w:p>
        </w:tc>
      </w:tr>
      <w:tr w:rsidR="008162F1" w:rsidRPr="00640774" w14:paraId="2299FC2C" w14:textId="30E06522" w:rsidTr="00943575">
        <w:tc>
          <w:tcPr>
            <w:tcW w:w="2410" w:type="dxa"/>
          </w:tcPr>
          <w:p w14:paraId="13961279" w14:textId="521EA9D3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Not known</w:t>
            </w:r>
          </w:p>
        </w:tc>
        <w:tc>
          <w:tcPr>
            <w:tcW w:w="709" w:type="dxa"/>
          </w:tcPr>
          <w:p w14:paraId="7F4F5C6F" w14:textId="7F870B46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2B948692" w14:textId="23D9B81F" w:rsidR="008162F1" w:rsidRPr="00640774" w:rsidRDefault="00ED5744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2</w:t>
            </w:r>
          </w:p>
        </w:tc>
      </w:tr>
      <w:tr w:rsidR="008162F1" w:rsidRPr="00640774" w14:paraId="48D2C8B6" w14:textId="3116062D" w:rsidTr="00BC08DC">
        <w:tc>
          <w:tcPr>
            <w:tcW w:w="3119" w:type="dxa"/>
            <w:gridSpan w:val="2"/>
            <w:shd w:val="clear" w:color="auto" w:fill="EEECE1" w:themeFill="background2"/>
          </w:tcPr>
          <w:p w14:paraId="059539B0" w14:textId="71552AEA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b/>
                <w:bCs/>
                <w:sz w:val="20"/>
                <w:szCs w:val="20"/>
              </w:rPr>
              <w:t>Upper Middle</w:t>
            </w:r>
            <w:r w:rsidR="00D21868">
              <w:rPr>
                <w:b/>
                <w:bCs/>
                <w:sz w:val="20"/>
                <w:szCs w:val="20"/>
              </w:rPr>
              <w:t xml:space="preserve"> Quartile</w:t>
            </w:r>
          </w:p>
        </w:tc>
        <w:tc>
          <w:tcPr>
            <w:tcW w:w="709" w:type="dxa"/>
            <w:shd w:val="clear" w:color="auto" w:fill="EEECE1" w:themeFill="background2"/>
          </w:tcPr>
          <w:p w14:paraId="34F7C1B1" w14:textId="77777777" w:rsidR="008162F1" w:rsidRPr="00640774" w:rsidRDefault="008162F1" w:rsidP="00562D6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162F1" w:rsidRPr="00640774" w14:paraId="7829FC8A" w14:textId="4586CE5F" w:rsidTr="00943575">
        <w:tc>
          <w:tcPr>
            <w:tcW w:w="2410" w:type="dxa"/>
          </w:tcPr>
          <w:p w14:paraId="09320939" w14:textId="23D7FD6F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Total no</w:t>
            </w:r>
          </w:p>
        </w:tc>
        <w:tc>
          <w:tcPr>
            <w:tcW w:w="709" w:type="dxa"/>
          </w:tcPr>
          <w:p w14:paraId="5F987E16" w14:textId="45809EE8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14:paraId="5FA7F1BE" w14:textId="49C1E44D" w:rsidR="008162F1" w:rsidRPr="00640774" w:rsidRDefault="00FD2A50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102</w:t>
            </w:r>
          </w:p>
        </w:tc>
      </w:tr>
      <w:tr w:rsidR="008162F1" w:rsidRPr="00640774" w14:paraId="40F9AE95" w14:textId="58BFB7F5" w:rsidTr="00943575">
        <w:tc>
          <w:tcPr>
            <w:tcW w:w="2410" w:type="dxa"/>
          </w:tcPr>
          <w:p w14:paraId="18E4C84E" w14:textId="598D27C8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BAME</w:t>
            </w:r>
          </w:p>
        </w:tc>
        <w:tc>
          <w:tcPr>
            <w:tcW w:w="709" w:type="dxa"/>
          </w:tcPr>
          <w:p w14:paraId="1BE52644" w14:textId="41826F38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4E010CBE" w14:textId="19E50F62" w:rsidR="008162F1" w:rsidRPr="00640774" w:rsidRDefault="00D565B5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3</w:t>
            </w:r>
            <w:r w:rsidR="00C41EA7" w:rsidRPr="00640774">
              <w:rPr>
                <w:sz w:val="20"/>
                <w:szCs w:val="20"/>
              </w:rPr>
              <w:t>0</w:t>
            </w:r>
          </w:p>
        </w:tc>
      </w:tr>
      <w:tr w:rsidR="008162F1" w:rsidRPr="00640774" w14:paraId="2CB39AE3" w14:textId="380EF941" w:rsidTr="00943575">
        <w:tc>
          <w:tcPr>
            <w:tcW w:w="2410" w:type="dxa"/>
          </w:tcPr>
          <w:p w14:paraId="57EE005D" w14:textId="611B9765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White</w:t>
            </w:r>
          </w:p>
        </w:tc>
        <w:tc>
          <w:tcPr>
            <w:tcW w:w="709" w:type="dxa"/>
          </w:tcPr>
          <w:p w14:paraId="6090C3C7" w14:textId="3A5BA605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317CFA79" w14:textId="1965D76E" w:rsidR="008162F1" w:rsidRPr="00640774" w:rsidRDefault="00625E9A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66</w:t>
            </w:r>
          </w:p>
        </w:tc>
      </w:tr>
      <w:tr w:rsidR="008162F1" w:rsidRPr="00640774" w14:paraId="232E0CD6" w14:textId="1B69E934" w:rsidTr="00943575">
        <w:tc>
          <w:tcPr>
            <w:tcW w:w="2410" w:type="dxa"/>
          </w:tcPr>
          <w:p w14:paraId="5D156424" w14:textId="3E4605AC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Not known</w:t>
            </w:r>
          </w:p>
        </w:tc>
        <w:tc>
          <w:tcPr>
            <w:tcW w:w="709" w:type="dxa"/>
          </w:tcPr>
          <w:p w14:paraId="18AF9684" w14:textId="709C6537" w:rsidR="008162F1" w:rsidRPr="00640774" w:rsidRDefault="008162F1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9243CD7" w14:textId="038BDA5A" w:rsidR="008162F1" w:rsidRPr="00640774" w:rsidRDefault="00C41EA7" w:rsidP="00562D69">
            <w:pPr>
              <w:rPr>
                <w:sz w:val="20"/>
                <w:szCs w:val="20"/>
              </w:rPr>
            </w:pPr>
            <w:r w:rsidRPr="00640774">
              <w:rPr>
                <w:sz w:val="20"/>
                <w:szCs w:val="20"/>
              </w:rPr>
              <w:t>6</w:t>
            </w:r>
          </w:p>
        </w:tc>
      </w:tr>
    </w:tbl>
    <w:p w14:paraId="242EF9FA" w14:textId="7B0A7617" w:rsidR="00B66C83" w:rsidRDefault="00B66C83" w:rsidP="00156FBC"/>
    <w:p w14:paraId="7ADF536F" w14:textId="1B6F9EE2" w:rsidR="002C2F0E" w:rsidRPr="00C81EB5" w:rsidRDefault="00C81EB5" w:rsidP="00156FBC">
      <w:pPr>
        <w:rPr>
          <w:shd w:val="clear" w:color="auto" w:fill="FFFFFF"/>
        </w:rPr>
      </w:pPr>
      <w:r>
        <w:t>We know that t</w:t>
      </w:r>
      <w:r w:rsidR="00BE2171">
        <w:t>h</w:t>
      </w:r>
      <w:r w:rsidR="004B6730">
        <w:t>e</w:t>
      </w:r>
      <w:r w:rsidR="00BE2171">
        <w:t xml:space="preserve"> aggregated ethnicity classification can hide disparities between groups. For example national data</w:t>
      </w:r>
      <w:r>
        <w:t xml:space="preserve"> in 201</w:t>
      </w:r>
      <w:r w:rsidR="00EB769B">
        <w:t>9</w:t>
      </w:r>
      <w:r>
        <w:t xml:space="preserve"> </w:t>
      </w:r>
      <w:r w:rsidR="00BE2171">
        <w:t>shows that employees of</w:t>
      </w:r>
      <w:r w:rsidR="004B6730">
        <w:t xml:space="preserve"> </w:t>
      </w:r>
      <w:r w:rsidR="00BE2171" w:rsidRPr="00C81EB5">
        <w:rPr>
          <w:shd w:val="clear" w:color="auto" w:fill="FFFFFF"/>
        </w:rPr>
        <w:t xml:space="preserve">Chinese, Indian and </w:t>
      </w:r>
      <w:r w:rsidR="00EB769B">
        <w:rPr>
          <w:shd w:val="clear" w:color="auto" w:fill="FFFFFF"/>
        </w:rPr>
        <w:t xml:space="preserve">White/Asian </w:t>
      </w:r>
      <w:r w:rsidR="004B6730" w:rsidRPr="00C81EB5">
        <w:rPr>
          <w:shd w:val="clear" w:color="auto" w:fill="FFFFFF"/>
        </w:rPr>
        <w:t>ethnicity</w:t>
      </w:r>
      <w:r w:rsidR="00BE2171" w:rsidRPr="00C81EB5">
        <w:rPr>
          <w:shd w:val="clear" w:color="auto" w:fill="FFFFFF"/>
        </w:rPr>
        <w:t xml:space="preserve"> all had higher median hourly pay than White British employees whilst</w:t>
      </w:r>
      <w:r w:rsidR="0019672E" w:rsidRPr="00C81EB5">
        <w:rPr>
          <w:shd w:val="clear" w:color="auto" w:fill="FFFFFF"/>
        </w:rPr>
        <w:t xml:space="preserve"> employees</w:t>
      </w:r>
      <w:r w:rsidR="00BE2171" w:rsidRPr="00C81EB5">
        <w:rPr>
          <w:shd w:val="clear" w:color="auto" w:fill="FFFFFF"/>
        </w:rPr>
        <w:t xml:space="preserve"> </w:t>
      </w:r>
      <w:r w:rsidR="004B6730" w:rsidRPr="00C81EB5">
        <w:rPr>
          <w:shd w:val="clear" w:color="auto" w:fill="FFFFFF"/>
        </w:rPr>
        <w:t xml:space="preserve">in the </w:t>
      </w:r>
      <w:r w:rsidR="00BE2171" w:rsidRPr="00C81EB5">
        <w:rPr>
          <w:shd w:val="clear" w:color="auto" w:fill="FFFFFF"/>
        </w:rPr>
        <w:t>Pakistani</w:t>
      </w:r>
      <w:r w:rsidR="00EB769B">
        <w:rPr>
          <w:shd w:val="clear" w:color="auto" w:fill="FFFFFF"/>
        </w:rPr>
        <w:t xml:space="preserve">, White/Black African and </w:t>
      </w:r>
      <w:r w:rsidR="00BE2171" w:rsidRPr="00C81EB5">
        <w:rPr>
          <w:shd w:val="clear" w:color="auto" w:fill="FFFFFF"/>
        </w:rPr>
        <w:t xml:space="preserve">Bangladeshi </w:t>
      </w:r>
      <w:r w:rsidR="004B6730" w:rsidRPr="00C81EB5">
        <w:rPr>
          <w:shd w:val="clear" w:color="auto" w:fill="FFFFFF"/>
        </w:rPr>
        <w:t xml:space="preserve">ethnic groups had lowest median hourly pay (the latter group </w:t>
      </w:r>
      <w:r w:rsidR="00BE2171" w:rsidRPr="00C81EB5">
        <w:rPr>
          <w:shd w:val="clear" w:color="auto" w:fill="FFFFFF"/>
        </w:rPr>
        <w:t>earn</w:t>
      </w:r>
      <w:r w:rsidR="004B6730" w:rsidRPr="00C81EB5">
        <w:rPr>
          <w:shd w:val="clear" w:color="auto" w:fill="FFFFFF"/>
        </w:rPr>
        <w:t xml:space="preserve">ing </w:t>
      </w:r>
      <w:r w:rsidR="00BE2171" w:rsidRPr="00C81EB5">
        <w:rPr>
          <w:shd w:val="clear" w:color="auto" w:fill="FFFFFF"/>
        </w:rPr>
        <w:t xml:space="preserve">20% less than White British workers </w:t>
      </w:r>
      <w:r w:rsidR="004B6730" w:rsidRPr="00C81EB5">
        <w:rPr>
          <w:shd w:val="clear" w:color="auto" w:fill="FFFFFF"/>
        </w:rPr>
        <w:t>)</w:t>
      </w:r>
      <w:r w:rsidR="0012092B">
        <w:rPr>
          <w:shd w:val="clear" w:color="auto" w:fill="FFFFFF"/>
        </w:rPr>
        <w:t xml:space="preserve">. </w:t>
      </w:r>
    </w:p>
    <w:p w14:paraId="6490B6A5" w14:textId="291C10A0" w:rsidR="00C81EB5" w:rsidRDefault="004B6730" w:rsidP="00C81EB5">
      <w:pPr>
        <w:rPr>
          <w:i/>
        </w:rPr>
      </w:pPr>
      <w:r w:rsidRPr="00DF7FD5">
        <w:rPr>
          <w:color w:val="000000" w:themeColor="text1"/>
          <w:shd w:val="clear" w:color="auto" w:fill="FFFFFF"/>
        </w:rPr>
        <w:t xml:space="preserve">When we explore </w:t>
      </w:r>
      <w:r w:rsidR="00C81EB5" w:rsidRPr="00DF7FD5">
        <w:rPr>
          <w:color w:val="000000" w:themeColor="text1"/>
          <w:shd w:val="clear" w:color="auto" w:fill="FFFFFF"/>
        </w:rPr>
        <w:t xml:space="preserve">the </w:t>
      </w:r>
      <w:r w:rsidRPr="00DF7FD5">
        <w:rPr>
          <w:color w:val="000000" w:themeColor="text1"/>
          <w:shd w:val="clear" w:color="auto" w:fill="FFFFFF"/>
        </w:rPr>
        <w:t>different ethnic groups</w:t>
      </w:r>
      <w:r w:rsidR="00C81EB5" w:rsidRPr="00DF7FD5">
        <w:rPr>
          <w:color w:val="000000" w:themeColor="text1"/>
          <w:shd w:val="clear" w:color="auto" w:fill="FFFFFF"/>
        </w:rPr>
        <w:t xml:space="preserve"> at BMet </w:t>
      </w:r>
      <w:r w:rsidRPr="00DF7FD5">
        <w:rPr>
          <w:color w:val="000000" w:themeColor="text1"/>
          <w:shd w:val="clear" w:color="auto" w:fill="FFFFFF"/>
        </w:rPr>
        <w:t xml:space="preserve">we see that </w:t>
      </w:r>
      <w:r w:rsidR="00C81EB5" w:rsidRPr="00DF7FD5">
        <w:rPr>
          <w:color w:val="000000" w:themeColor="text1"/>
          <w:shd w:val="clear" w:color="auto" w:fill="FFFFFF"/>
        </w:rPr>
        <w:t>th</w:t>
      </w:r>
      <w:r w:rsidR="00C30B14" w:rsidRPr="00DF7FD5">
        <w:rPr>
          <w:color w:val="000000" w:themeColor="text1"/>
        </w:rPr>
        <w:t>e l</w:t>
      </w:r>
      <w:r w:rsidR="00C30B14" w:rsidRPr="00DF7FD5">
        <w:t>argest groups are Indian (</w:t>
      </w:r>
      <w:r w:rsidR="00637AF4" w:rsidRPr="00DF7FD5">
        <w:t>2</w:t>
      </w:r>
      <w:r w:rsidR="000868C6" w:rsidRPr="00DF7FD5">
        <w:t>7</w:t>
      </w:r>
      <w:r w:rsidR="00C30B14" w:rsidRPr="00DF7FD5">
        <w:t xml:space="preserve">% </w:t>
      </w:r>
      <w:r w:rsidR="00C30B14" w:rsidRPr="00A33F86">
        <w:t>of BAME staff), Black Caribbean (2</w:t>
      </w:r>
      <w:r w:rsidR="00637AF4" w:rsidRPr="00A33F86">
        <w:t>4</w:t>
      </w:r>
      <w:r w:rsidR="00C30B14" w:rsidRPr="00A33F86">
        <w:t>%)</w:t>
      </w:r>
      <w:r w:rsidR="00C81EB5" w:rsidRPr="00A33F86">
        <w:t xml:space="preserve"> and </w:t>
      </w:r>
      <w:r w:rsidR="00C30B14" w:rsidRPr="00A33F86">
        <w:t>Pakistani</w:t>
      </w:r>
      <w:r w:rsidR="00C81EB5" w:rsidRPr="00A33F86">
        <w:t xml:space="preserve"> (</w:t>
      </w:r>
      <w:r w:rsidR="00CD5785" w:rsidRPr="00A33F86">
        <w:t>1</w:t>
      </w:r>
      <w:r w:rsidR="00DF7FD5" w:rsidRPr="00A33F86">
        <w:t>9</w:t>
      </w:r>
      <w:r w:rsidR="00CD5785" w:rsidRPr="00A33F86">
        <w:t>%)</w:t>
      </w:r>
      <w:r w:rsidR="004D38C0">
        <w:t>;</w:t>
      </w:r>
      <w:r w:rsidR="00CD5785" w:rsidRPr="00A33F86">
        <w:t xml:space="preserve"> with Asian Other</w:t>
      </w:r>
      <w:r w:rsidR="001D158C" w:rsidRPr="00A33F86">
        <w:t xml:space="preserve"> (6%),</w:t>
      </w:r>
      <w:r w:rsidR="00B757AC" w:rsidRPr="00A33F86">
        <w:t xml:space="preserve"> African</w:t>
      </w:r>
      <w:r w:rsidR="001D158C" w:rsidRPr="00A33F86">
        <w:t xml:space="preserve"> (</w:t>
      </w:r>
      <w:r w:rsidR="00A33F86" w:rsidRPr="00A33F86">
        <w:t>5%)</w:t>
      </w:r>
      <w:r w:rsidR="00B757AC" w:rsidRPr="00A33F86">
        <w:t xml:space="preserve"> </w:t>
      </w:r>
      <w:r w:rsidR="003D798F" w:rsidRPr="00A33F86">
        <w:t xml:space="preserve">and White/Black Caribbean </w:t>
      </w:r>
      <w:r w:rsidR="00A33F86" w:rsidRPr="00A33F86">
        <w:t xml:space="preserve">(5%) </w:t>
      </w:r>
      <w:r w:rsidR="00CD5785" w:rsidRPr="00A33F86">
        <w:t>being the next largest groups</w:t>
      </w:r>
      <w:r w:rsidR="00E86711" w:rsidRPr="00A33F86">
        <w:t xml:space="preserve"> (</w:t>
      </w:r>
      <w:r w:rsidR="00CD5785" w:rsidRPr="00A33F86">
        <w:t>of BAME staff).</w:t>
      </w:r>
      <w:r w:rsidR="00CD5785" w:rsidRPr="00A33F86">
        <w:rPr>
          <w:color w:val="000000" w:themeColor="text1"/>
        </w:rPr>
        <w:t xml:space="preserve"> </w:t>
      </w:r>
      <w:r w:rsidR="00C81A95" w:rsidRPr="00A33F86">
        <w:rPr>
          <w:i/>
        </w:rPr>
        <w:t>See Table</w:t>
      </w:r>
      <w:r w:rsidR="00323A5E">
        <w:rPr>
          <w:i/>
        </w:rPr>
        <w:t xml:space="preserve"> 6</w:t>
      </w:r>
      <w:r w:rsidR="00BD7428" w:rsidRPr="00A33F86">
        <w:rPr>
          <w:i/>
        </w:rPr>
        <w:t xml:space="preserve"> for hourly pay of these groups.</w:t>
      </w:r>
    </w:p>
    <w:p w14:paraId="1EBBB262" w14:textId="5A3954E1" w:rsidR="00C81A95" w:rsidRPr="0001317C" w:rsidRDefault="00C81A95" w:rsidP="00C81EB5">
      <w:r w:rsidRPr="00E52C68">
        <w:rPr>
          <w:i/>
          <w:sz w:val="20"/>
          <w:u w:val="single"/>
        </w:rPr>
        <w:t xml:space="preserve">Table </w:t>
      </w:r>
      <w:r w:rsidR="00323A5E">
        <w:rPr>
          <w:i/>
          <w:sz w:val="20"/>
          <w:u w:val="single"/>
        </w:rPr>
        <w:t>6</w:t>
      </w:r>
      <w:r w:rsidRPr="00E52C68"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>Hourly pay for the largest ethnic groups at BMet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6"/>
        <w:gridCol w:w="1155"/>
        <w:gridCol w:w="1151"/>
        <w:gridCol w:w="1353"/>
        <w:gridCol w:w="869"/>
        <w:gridCol w:w="1226"/>
        <w:gridCol w:w="1256"/>
      </w:tblGrid>
      <w:tr w:rsidR="00CC6A7A" w:rsidRPr="00CC6A7A" w14:paraId="08D0826B" w14:textId="77777777" w:rsidTr="00CC6A7A">
        <w:trPr>
          <w:jc w:val="center"/>
        </w:trPr>
        <w:tc>
          <w:tcPr>
            <w:tcW w:w="2006" w:type="dxa"/>
            <w:shd w:val="clear" w:color="auto" w:fill="EEECE1" w:themeFill="background2"/>
          </w:tcPr>
          <w:p w14:paraId="21B7164C" w14:textId="77777777" w:rsidR="00CC6A7A" w:rsidRPr="00CC6A7A" w:rsidRDefault="00CC6A7A" w:rsidP="00CC6A7A">
            <w:pPr>
              <w:rPr>
                <w:b/>
                <w:color w:val="000000" w:themeColor="text1"/>
                <w:sz w:val="20"/>
                <w:szCs w:val="20"/>
              </w:rPr>
            </w:pPr>
            <w:bookmarkStart w:id="1" w:name="_Hlk61879306"/>
            <w:r w:rsidRPr="00CC6A7A">
              <w:rPr>
                <w:b/>
                <w:color w:val="000000" w:themeColor="text1"/>
                <w:sz w:val="20"/>
                <w:szCs w:val="20"/>
              </w:rPr>
              <w:t>Categories</w:t>
            </w:r>
          </w:p>
        </w:tc>
        <w:tc>
          <w:tcPr>
            <w:tcW w:w="1155" w:type="dxa"/>
            <w:shd w:val="clear" w:color="auto" w:fill="EEECE1" w:themeFill="background2"/>
          </w:tcPr>
          <w:p w14:paraId="1D70FF58" w14:textId="6F11A7AA" w:rsidR="00CC6A7A" w:rsidRPr="00CC6A7A" w:rsidRDefault="00CC6A7A" w:rsidP="00CC6A7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C6A7A">
              <w:rPr>
                <w:b/>
                <w:color w:val="000000" w:themeColor="text1"/>
                <w:sz w:val="20"/>
                <w:szCs w:val="20"/>
              </w:rPr>
              <w:t>No’s</w:t>
            </w:r>
          </w:p>
        </w:tc>
        <w:tc>
          <w:tcPr>
            <w:tcW w:w="1151" w:type="dxa"/>
            <w:shd w:val="clear" w:color="auto" w:fill="EEECE1" w:themeFill="background2"/>
          </w:tcPr>
          <w:p w14:paraId="5A07189A" w14:textId="0D6BEEB6" w:rsidR="00CC6A7A" w:rsidRPr="00CC6A7A" w:rsidRDefault="00CC6A7A" w:rsidP="00CC6A7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C6A7A">
              <w:rPr>
                <w:b/>
                <w:color w:val="000000" w:themeColor="text1"/>
                <w:sz w:val="20"/>
                <w:szCs w:val="20"/>
              </w:rPr>
              <w:t>Mean Hourly Pay</w:t>
            </w:r>
          </w:p>
        </w:tc>
        <w:tc>
          <w:tcPr>
            <w:tcW w:w="1353" w:type="dxa"/>
            <w:shd w:val="clear" w:color="auto" w:fill="EEECE1" w:themeFill="background2"/>
          </w:tcPr>
          <w:p w14:paraId="4FC30991" w14:textId="1DF095D7" w:rsidR="00CC6A7A" w:rsidRPr="00CC6A7A" w:rsidRDefault="00CC6A7A" w:rsidP="00CC6A7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C6A7A">
              <w:rPr>
                <w:b/>
                <w:color w:val="000000" w:themeColor="text1"/>
                <w:sz w:val="20"/>
                <w:szCs w:val="20"/>
              </w:rPr>
              <w:t>Median Hourly Pay</w:t>
            </w:r>
          </w:p>
        </w:tc>
        <w:tc>
          <w:tcPr>
            <w:tcW w:w="869" w:type="dxa"/>
            <w:shd w:val="clear" w:color="auto" w:fill="EEECE1" w:themeFill="background2"/>
          </w:tcPr>
          <w:p w14:paraId="09195327" w14:textId="77777777" w:rsidR="00CC6A7A" w:rsidRPr="00CC6A7A" w:rsidRDefault="00CC6A7A" w:rsidP="00CC6A7A">
            <w:pPr>
              <w:jc w:val="right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b/>
                <w:color w:val="808080" w:themeColor="background1" w:themeShade="80"/>
                <w:sz w:val="20"/>
                <w:szCs w:val="20"/>
              </w:rPr>
              <w:t>2020</w:t>
            </w:r>
          </w:p>
          <w:p w14:paraId="07DF1A09" w14:textId="115F1E47" w:rsidR="00CC6A7A" w:rsidRPr="00CC6A7A" w:rsidRDefault="00CC6A7A" w:rsidP="00CC6A7A">
            <w:pPr>
              <w:jc w:val="right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b/>
                <w:color w:val="808080" w:themeColor="background1" w:themeShade="80"/>
                <w:sz w:val="20"/>
                <w:szCs w:val="20"/>
              </w:rPr>
              <w:t>No’s</w:t>
            </w:r>
          </w:p>
        </w:tc>
        <w:tc>
          <w:tcPr>
            <w:tcW w:w="1226" w:type="dxa"/>
            <w:shd w:val="clear" w:color="auto" w:fill="EEECE1" w:themeFill="background2"/>
          </w:tcPr>
          <w:p w14:paraId="14F67622" w14:textId="77777777" w:rsidR="00CC6A7A" w:rsidRPr="00CC6A7A" w:rsidRDefault="00CC6A7A" w:rsidP="00CC6A7A">
            <w:pPr>
              <w:jc w:val="right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b/>
                <w:color w:val="808080" w:themeColor="background1" w:themeShade="80"/>
                <w:sz w:val="20"/>
                <w:szCs w:val="20"/>
              </w:rPr>
              <w:t>Mean Hourly Pay</w:t>
            </w:r>
          </w:p>
        </w:tc>
        <w:tc>
          <w:tcPr>
            <w:tcW w:w="1256" w:type="dxa"/>
            <w:shd w:val="clear" w:color="auto" w:fill="EEECE1" w:themeFill="background2"/>
          </w:tcPr>
          <w:p w14:paraId="4E1EA5EE" w14:textId="77777777" w:rsidR="00CC6A7A" w:rsidRPr="00CC6A7A" w:rsidRDefault="00CC6A7A" w:rsidP="00CC6A7A">
            <w:pPr>
              <w:jc w:val="right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b/>
                <w:color w:val="808080" w:themeColor="background1" w:themeShade="80"/>
                <w:sz w:val="20"/>
                <w:szCs w:val="20"/>
              </w:rPr>
              <w:t>Median Hourly Pay</w:t>
            </w:r>
          </w:p>
        </w:tc>
      </w:tr>
      <w:tr w:rsidR="003D77AE" w:rsidRPr="00CC6A7A" w14:paraId="61BAD5EA" w14:textId="77777777" w:rsidTr="00CC6A7A">
        <w:trPr>
          <w:jc w:val="center"/>
        </w:trPr>
        <w:tc>
          <w:tcPr>
            <w:tcW w:w="2006" w:type="dxa"/>
          </w:tcPr>
          <w:p w14:paraId="4227E603" w14:textId="77777777" w:rsidR="003D77AE" w:rsidRPr="00CC6A7A" w:rsidRDefault="003D77AE" w:rsidP="003D77AE">
            <w:pPr>
              <w:rPr>
                <w:color w:val="000000" w:themeColor="text1"/>
                <w:sz w:val="20"/>
                <w:szCs w:val="20"/>
              </w:rPr>
            </w:pPr>
            <w:r w:rsidRPr="00CC6A7A">
              <w:rPr>
                <w:color w:val="000000" w:themeColor="text1"/>
                <w:sz w:val="20"/>
                <w:szCs w:val="20"/>
              </w:rPr>
              <w:t>White</w:t>
            </w:r>
          </w:p>
        </w:tc>
        <w:tc>
          <w:tcPr>
            <w:tcW w:w="1155" w:type="dxa"/>
          </w:tcPr>
          <w:p w14:paraId="32650A9C" w14:textId="21CDB7E3" w:rsidR="003D77AE" w:rsidRPr="00CC6A7A" w:rsidRDefault="003D77AE" w:rsidP="003D77A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C6A7A">
              <w:rPr>
                <w:color w:val="000000" w:themeColor="text1"/>
                <w:sz w:val="20"/>
                <w:szCs w:val="20"/>
              </w:rPr>
              <w:t>426</w:t>
            </w:r>
          </w:p>
        </w:tc>
        <w:tc>
          <w:tcPr>
            <w:tcW w:w="1151" w:type="dxa"/>
          </w:tcPr>
          <w:p w14:paraId="21E1BF6F" w14:textId="6CBE1BFC" w:rsidR="003D77AE" w:rsidRPr="00CC6A7A" w:rsidRDefault="003D77AE" w:rsidP="003D77A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C428E">
              <w:rPr>
                <w:sz w:val="20"/>
                <w:szCs w:val="20"/>
              </w:rPr>
              <w:t>£18.42</w:t>
            </w:r>
          </w:p>
        </w:tc>
        <w:tc>
          <w:tcPr>
            <w:tcW w:w="1353" w:type="dxa"/>
          </w:tcPr>
          <w:p w14:paraId="45F0B474" w14:textId="765FA5C5" w:rsidR="003D77AE" w:rsidRPr="00CC6A7A" w:rsidRDefault="003D77AE" w:rsidP="003D77A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C428E">
              <w:rPr>
                <w:sz w:val="20"/>
                <w:szCs w:val="20"/>
              </w:rPr>
              <w:t>£19.49</w:t>
            </w:r>
          </w:p>
        </w:tc>
        <w:tc>
          <w:tcPr>
            <w:tcW w:w="869" w:type="dxa"/>
          </w:tcPr>
          <w:p w14:paraId="0FAFE233" w14:textId="49546698" w:rsidR="003D77AE" w:rsidRPr="00CC6A7A" w:rsidRDefault="003D77AE" w:rsidP="003D77A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color w:val="808080" w:themeColor="background1" w:themeShade="80"/>
                <w:sz w:val="20"/>
                <w:szCs w:val="20"/>
              </w:rPr>
              <w:t>464</w:t>
            </w:r>
          </w:p>
        </w:tc>
        <w:tc>
          <w:tcPr>
            <w:tcW w:w="1226" w:type="dxa"/>
          </w:tcPr>
          <w:p w14:paraId="69858196" w14:textId="77777777" w:rsidR="003D77AE" w:rsidRPr="00CC6A7A" w:rsidRDefault="003D77AE" w:rsidP="003D77A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color w:val="808080" w:themeColor="background1" w:themeShade="80"/>
                <w:sz w:val="20"/>
                <w:szCs w:val="20"/>
              </w:rPr>
              <w:t>£18.11</w:t>
            </w:r>
          </w:p>
        </w:tc>
        <w:tc>
          <w:tcPr>
            <w:tcW w:w="1256" w:type="dxa"/>
          </w:tcPr>
          <w:p w14:paraId="41C94723" w14:textId="2FBB17DB" w:rsidR="003D77AE" w:rsidRPr="00CC6A7A" w:rsidRDefault="003D77AE" w:rsidP="003D77A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B84F05">
              <w:rPr>
                <w:color w:val="808080" w:themeColor="background1" w:themeShade="80"/>
                <w:sz w:val="20"/>
                <w:szCs w:val="20"/>
              </w:rPr>
              <w:t>£18.85</w:t>
            </w:r>
          </w:p>
        </w:tc>
      </w:tr>
      <w:tr w:rsidR="003D77AE" w:rsidRPr="00CC6A7A" w14:paraId="564D567E" w14:textId="77777777" w:rsidTr="00CC6A7A">
        <w:trPr>
          <w:jc w:val="center"/>
        </w:trPr>
        <w:tc>
          <w:tcPr>
            <w:tcW w:w="2006" w:type="dxa"/>
          </w:tcPr>
          <w:p w14:paraId="57AD67CB" w14:textId="77777777" w:rsidR="003D77AE" w:rsidRPr="00CC6A7A" w:rsidRDefault="003D77AE" w:rsidP="003D77AE">
            <w:pPr>
              <w:rPr>
                <w:color w:val="000000" w:themeColor="text1"/>
                <w:sz w:val="20"/>
                <w:szCs w:val="20"/>
              </w:rPr>
            </w:pPr>
            <w:r w:rsidRPr="00CC6A7A">
              <w:rPr>
                <w:color w:val="000000" w:themeColor="text1"/>
                <w:sz w:val="20"/>
                <w:szCs w:val="20"/>
              </w:rPr>
              <w:t>Indian</w:t>
            </w:r>
          </w:p>
        </w:tc>
        <w:tc>
          <w:tcPr>
            <w:tcW w:w="1155" w:type="dxa"/>
          </w:tcPr>
          <w:p w14:paraId="4B1A554B" w14:textId="70E0C88F" w:rsidR="003D77AE" w:rsidRPr="00CC6A7A" w:rsidRDefault="003D77AE" w:rsidP="003D77A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C6A7A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151" w:type="dxa"/>
          </w:tcPr>
          <w:p w14:paraId="24C7F21D" w14:textId="12329C05" w:rsidR="003D77AE" w:rsidRPr="00CC6A7A" w:rsidRDefault="0007594D" w:rsidP="003D77AE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£18.77</w:t>
            </w:r>
          </w:p>
        </w:tc>
        <w:tc>
          <w:tcPr>
            <w:tcW w:w="1353" w:type="dxa"/>
          </w:tcPr>
          <w:p w14:paraId="3EDED583" w14:textId="125E1E85" w:rsidR="003D77AE" w:rsidRPr="00CC6A7A" w:rsidRDefault="002A16BC" w:rsidP="003D77AE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£17.49</w:t>
            </w:r>
          </w:p>
        </w:tc>
        <w:tc>
          <w:tcPr>
            <w:tcW w:w="869" w:type="dxa"/>
          </w:tcPr>
          <w:p w14:paraId="3273C544" w14:textId="2777ED7E" w:rsidR="003D77AE" w:rsidRPr="00CC6A7A" w:rsidRDefault="003D77AE" w:rsidP="003D77A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color w:val="808080" w:themeColor="background1" w:themeShade="80"/>
                <w:sz w:val="20"/>
                <w:szCs w:val="20"/>
              </w:rPr>
              <w:t>50</w:t>
            </w:r>
          </w:p>
        </w:tc>
        <w:tc>
          <w:tcPr>
            <w:tcW w:w="1226" w:type="dxa"/>
          </w:tcPr>
          <w:p w14:paraId="1E639879" w14:textId="77777777" w:rsidR="003D77AE" w:rsidRPr="00CC6A7A" w:rsidRDefault="003D77AE" w:rsidP="003D77A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color w:val="808080" w:themeColor="background1" w:themeShade="80"/>
                <w:sz w:val="20"/>
                <w:szCs w:val="20"/>
              </w:rPr>
              <w:t>£17.51</w:t>
            </w:r>
          </w:p>
        </w:tc>
        <w:tc>
          <w:tcPr>
            <w:tcW w:w="1256" w:type="dxa"/>
          </w:tcPr>
          <w:p w14:paraId="6DDD1A78" w14:textId="77777777" w:rsidR="003D77AE" w:rsidRPr="00CC6A7A" w:rsidRDefault="003D77AE" w:rsidP="003D77A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color w:val="808080" w:themeColor="background1" w:themeShade="80"/>
                <w:sz w:val="20"/>
                <w:szCs w:val="20"/>
              </w:rPr>
              <w:t>£18.99</w:t>
            </w:r>
          </w:p>
        </w:tc>
      </w:tr>
      <w:tr w:rsidR="00041FA6" w:rsidRPr="00CC6A7A" w14:paraId="0241AA84" w14:textId="77777777" w:rsidTr="000D132F">
        <w:trPr>
          <w:jc w:val="center"/>
        </w:trPr>
        <w:tc>
          <w:tcPr>
            <w:tcW w:w="2006" w:type="dxa"/>
          </w:tcPr>
          <w:p w14:paraId="7D88A575" w14:textId="77777777" w:rsidR="00041FA6" w:rsidRPr="00CC6A7A" w:rsidRDefault="00041FA6" w:rsidP="000D132F">
            <w:pPr>
              <w:rPr>
                <w:color w:val="000000" w:themeColor="text1"/>
                <w:sz w:val="20"/>
                <w:szCs w:val="20"/>
              </w:rPr>
            </w:pPr>
            <w:r w:rsidRPr="00CC6A7A">
              <w:rPr>
                <w:color w:val="000000" w:themeColor="text1"/>
                <w:sz w:val="20"/>
                <w:szCs w:val="20"/>
              </w:rPr>
              <w:t>Black Caribbean</w:t>
            </w:r>
          </w:p>
        </w:tc>
        <w:tc>
          <w:tcPr>
            <w:tcW w:w="1155" w:type="dxa"/>
          </w:tcPr>
          <w:p w14:paraId="7E40840B" w14:textId="77777777" w:rsidR="00041FA6" w:rsidRPr="00CC6A7A" w:rsidRDefault="00041FA6" w:rsidP="000D132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C6A7A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51" w:type="dxa"/>
          </w:tcPr>
          <w:p w14:paraId="0C1694A8" w14:textId="77777777" w:rsidR="00041FA6" w:rsidRPr="00CC6A7A" w:rsidRDefault="00041FA6" w:rsidP="000D132F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£15.25</w:t>
            </w:r>
          </w:p>
        </w:tc>
        <w:tc>
          <w:tcPr>
            <w:tcW w:w="1353" w:type="dxa"/>
          </w:tcPr>
          <w:p w14:paraId="5951B1D8" w14:textId="77777777" w:rsidR="00041FA6" w:rsidRPr="00CC6A7A" w:rsidRDefault="00041FA6" w:rsidP="000D132F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£15.05</w:t>
            </w:r>
          </w:p>
        </w:tc>
        <w:tc>
          <w:tcPr>
            <w:tcW w:w="869" w:type="dxa"/>
          </w:tcPr>
          <w:p w14:paraId="2E2089E1" w14:textId="77777777" w:rsidR="00041FA6" w:rsidRPr="00CC6A7A" w:rsidRDefault="00041FA6" w:rsidP="000D132F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color w:val="808080" w:themeColor="background1" w:themeShade="80"/>
                <w:sz w:val="20"/>
                <w:szCs w:val="20"/>
              </w:rPr>
              <w:t>41</w:t>
            </w:r>
          </w:p>
        </w:tc>
        <w:tc>
          <w:tcPr>
            <w:tcW w:w="1226" w:type="dxa"/>
          </w:tcPr>
          <w:p w14:paraId="3156517C" w14:textId="77777777" w:rsidR="00041FA6" w:rsidRPr="00CC6A7A" w:rsidRDefault="00041FA6" w:rsidP="000D132F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color w:val="808080" w:themeColor="background1" w:themeShade="80"/>
                <w:sz w:val="20"/>
                <w:szCs w:val="20"/>
              </w:rPr>
              <w:t>£18.40</w:t>
            </w:r>
          </w:p>
        </w:tc>
        <w:tc>
          <w:tcPr>
            <w:tcW w:w="1256" w:type="dxa"/>
          </w:tcPr>
          <w:p w14:paraId="5780C63B" w14:textId="77777777" w:rsidR="00041FA6" w:rsidRPr="00CC6A7A" w:rsidRDefault="00041FA6" w:rsidP="000D132F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color w:val="808080" w:themeColor="background1" w:themeShade="80"/>
                <w:sz w:val="20"/>
                <w:szCs w:val="20"/>
              </w:rPr>
              <w:t>£17.10</w:t>
            </w:r>
          </w:p>
        </w:tc>
      </w:tr>
      <w:tr w:rsidR="003D77AE" w:rsidRPr="00CC6A7A" w14:paraId="74A5F6BD" w14:textId="77777777" w:rsidTr="00CC6A7A">
        <w:trPr>
          <w:jc w:val="center"/>
        </w:trPr>
        <w:tc>
          <w:tcPr>
            <w:tcW w:w="2006" w:type="dxa"/>
          </w:tcPr>
          <w:p w14:paraId="6FFC0500" w14:textId="77777777" w:rsidR="003D77AE" w:rsidRPr="00CC6A7A" w:rsidRDefault="003D77AE" w:rsidP="003D77AE">
            <w:pPr>
              <w:rPr>
                <w:color w:val="000000" w:themeColor="text1"/>
                <w:sz w:val="20"/>
                <w:szCs w:val="20"/>
              </w:rPr>
            </w:pPr>
            <w:r w:rsidRPr="00CC6A7A">
              <w:rPr>
                <w:color w:val="000000" w:themeColor="text1"/>
                <w:sz w:val="20"/>
                <w:szCs w:val="20"/>
              </w:rPr>
              <w:t>Pakistani</w:t>
            </w:r>
          </w:p>
        </w:tc>
        <w:tc>
          <w:tcPr>
            <w:tcW w:w="1155" w:type="dxa"/>
          </w:tcPr>
          <w:p w14:paraId="00D5074C" w14:textId="18CE8014" w:rsidR="003D77AE" w:rsidRPr="00CC6A7A" w:rsidRDefault="003D77AE" w:rsidP="003D77A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C6A7A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151" w:type="dxa"/>
          </w:tcPr>
          <w:p w14:paraId="23A5A422" w14:textId="099B11A1" w:rsidR="003D77AE" w:rsidRPr="00CC6A7A" w:rsidRDefault="0000229B" w:rsidP="003D77AE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£1</w:t>
            </w:r>
            <w:r w:rsidR="00DB13CC">
              <w:rPr>
                <w:color w:val="000000" w:themeColor="text1"/>
                <w:sz w:val="20"/>
                <w:szCs w:val="20"/>
              </w:rPr>
              <w:t>6.83</w:t>
            </w:r>
          </w:p>
        </w:tc>
        <w:tc>
          <w:tcPr>
            <w:tcW w:w="1353" w:type="dxa"/>
          </w:tcPr>
          <w:p w14:paraId="0575264E" w14:textId="2617B2F3" w:rsidR="003D77AE" w:rsidRPr="00CC6A7A" w:rsidRDefault="00653C74" w:rsidP="003D77AE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£17.21</w:t>
            </w:r>
          </w:p>
        </w:tc>
        <w:tc>
          <w:tcPr>
            <w:tcW w:w="869" w:type="dxa"/>
          </w:tcPr>
          <w:p w14:paraId="3258BA0D" w14:textId="679CCD19" w:rsidR="003D77AE" w:rsidRPr="00CC6A7A" w:rsidRDefault="003D77AE" w:rsidP="003D77A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1226" w:type="dxa"/>
          </w:tcPr>
          <w:p w14:paraId="10E651AD" w14:textId="77777777" w:rsidR="003D77AE" w:rsidRPr="00CC6A7A" w:rsidRDefault="003D77AE" w:rsidP="003D77A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color w:val="808080" w:themeColor="background1" w:themeShade="80"/>
                <w:sz w:val="20"/>
                <w:szCs w:val="20"/>
              </w:rPr>
              <w:t>£17.81</w:t>
            </w:r>
          </w:p>
        </w:tc>
        <w:tc>
          <w:tcPr>
            <w:tcW w:w="1256" w:type="dxa"/>
          </w:tcPr>
          <w:p w14:paraId="6ED8223A" w14:textId="77777777" w:rsidR="003D77AE" w:rsidRPr="00CC6A7A" w:rsidRDefault="003D77AE" w:rsidP="003D77A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color w:val="808080" w:themeColor="background1" w:themeShade="80"/>
                <w:sz w:val="20"/>
                <w:szCs w:val="20"/>
              </w:rPr>
              <w:t>£18.42</w:t>
            </w:r>
          </w:p>
        </w:tc>
      </w:tr>
      <w:bookmarkEnd w:id="1"/>
    </w:tbl>
    <w:p w14:paraId="2F627209" w14:textId="5AB97F31" w:rsidR="006E4EDF" w:rsidRDefault="006E4EDF" w:rsidP="006E4EDF">
      <w:pPr>
        <w:autoSpaceDE w:val="0"/>
        <w:autoSpaceDN w:val="0"/>
        <w:adjustRightInd w:val="0"/>
        <w:spacing w:after="100" w:line="241" w:lineRule="atLeast"/>
        <w:rPr>
          <w:rFonts w:cs="KFEYB M+ DIN"/>
          <w:bCs/>
          <w:i/>
          <w:color w:val="000000" w:themeColor="text1"/>
          <w:sz w:val="10"/>
        </w:rPr>
      </w:pPr>
    </w:p>
    <w:p w14:paraId="7C0763EB" w14:textId="77777777" w:rsidR="00156FBC" w:rsidRPr="0003042B" w:rsidRDefault="00156FBC" w:rsidP="00156FBC">
      <w:pPr>
        <w:autoSpaceDE w:val="0"/>
        <w:autoSpaceDN w:val="0"/>
        <w:adjustRightInd w:val="0"/>
        <w:spacing w:after="100" w:line="241" w:lineRule="atLeast"/>
        <w:ind w:left="380" w:hanging="380"/>
        <w:rPr>
          <w:rFonts w:cs="KFEYB M+ DIN"/>
          <w:color w:val="000000" w:themeColor="text1"/>
        </w:rPr>
      </w:pPr>
      <w:r w:rsidRPr="0003042B">
        <w:rPr>
          <w:rFonts w:cs="KFEYB M+ DIN"/>
          <w:b/>
          <w:bCs/>
          <w:color w:val="000000" w:themeColor="text1"/>
        </w:rPr>
        <w:t xml:space="preserve">5. Future action </w:t>
      </w:r>
    </w:p>
    <w:p w14:paraId="42911E64" w14:textId="77777777" w:rsidR="00156FBC" w:rsidRDefault="00156FBC" w:rsidP="00156FBC">
      <w:pPr>
        <w:pStyle w:val="ListParagraph"/>
        <w:autoSpaceDE w:val="0"/>
        <w:autoSpaceDN w:val="0"/>
        <w:adjustRightInd w:val="0"/>
        <w:spacing w:after="0" w:line="241" w:lineRule="atLeast"/>
        <w:ind w:left="0"/>
        <w:rPr>
          <w:rFonts w:cs="KFEYB M+ News Gothic BT"/>
          <w:color w:val="211D1E"/>
        </w:rPr>
      </w:pPr>
    </w:p>
    <w:p w14:paraId="5447AB15" w14:textId="1BCE94A1" w:rsidR="00B60DE3" w:rsidRDefault="00066262" w:rsidP="00156FBC">
      <w:pPr>
        <w:pStyle w:val="ListParagraph"/>
        <w:autoSpaceDE w:val="0"/>
        <w:autoSpaceDN w:val="0"/>
        <w:adjustRightInd w:val="0"/>
        <w:spacing w:after="0" w:line="241" w:lineRule="atLeast"/>
        <w:ind w:left="0"/>
      </w:pPr>
      <w:r>
        <w:t>W</w:t>
      </w:r>
      <w:r w:rsidR="00B60DE3">
        <w:t xml:space="preserve">e </w:t>
      </w:r>
      <w:r w:rsidR="00C81A95">
        <w:t xml:space="preserve">continue to develop a culture around diversity and inclusion ensuring that we are </w:t>
      </w:r>
      <w:r w:rsidR="00B60DE3">
        <w:t>provid</w:t>
      </w:r>
      <w:r w:rsidR="00C81A95">
        <w:t>ing</w:t>
      </w:r>
      <w:r w:rsidR="00B60DE3">
        <w:t xml:space="preserve"> an inclusive </w:t>
      </w:r>
      <w:r w:rsidR="00C81A95">
        <w:t xml:space="preserve">and respectful </w:t>
      </w:r>
      <w:r w:rsidR="00B60DE3">
        <w:t xml:space="preserve">working environment where everyone </w:t>
      </w:r>
      <w:r w:rsidR="00C81A95">
        <w:t xml:space="preserve">is engaged and </w:t>
      </w:r>
      <w:proofErr w:type="gramStart"/>
      <w:r w:rsidR="00C81A95">
        <w:t>is able to</w:t>
      </w:r>
      <w:proofErr w:type="gramEnd"/>
      <w:r w:rsidR="00C81A95">
        <w:t xml:space="preserve"> </w:t>
      </w:r>
      <w:r w:rsidR="00B60DE3">
        <w:t>develop</w:t>
      </w:r>
      <w:r w:rsidR="00C81A95">
        <w:t xml:space="preserve">.  </w:t>
      </w:r>
      <w:r w:rsidR="00C97EEA">
        <w:t xml:space="preserve">The activities aimed at ensuring that we are able to attract, develop and retain </w:t>
      </w:r>
      <w:r w:rsidR="0021646C">
        <w:t xml:space="preserve">BAME </w:t>
      </w:r>
      <w:r w:rsidR="00C97EEA">
        <w:t xml:space="preserve">talent </w:t>
      </w:r>
      <w:r w:rsidR="00721E8A">
        <w:t xml:space="preserve">are </w:t>
      </w:r>
      <w:r w:rsidR="00721E8A">
        <w:lastRenderedPageBreak/>
        <w:t xml:space="preserve">being driven across college with the support of </w:t>
      </w:r>
      <w:r w:rsidR="000A0531">
        <w:t>the Black Further Education Leadership Group</w:t>
      </w:r>
      <w:r w:rsidR="00DD0BCD">
        <w:t>, the Student Commission for Racial Justice (Leaders Unlocked)</w:t>
      </w:r>
      <w:r w:rsidR="00E366D7">
        <w:t xml:space="preserve"> and the College’s 10 point plan for an anti-racist FE system</w:t>
      </w:r>
      <w:r w:rsidR="00721E8A">
        <w:t>.</w:t>
      </w:r>
    </w:p>
    <w:p w14:paraId="5C7B2CC7" w14:textId="77777777" w:rsidR="00C97EEA" w:rsidRPr="00744801" w:rsidRDefault="00C97EEA" w:rsidP="00156FBC">
      <w:pPr>
        <w:pStyle w:val="ListParagraph"/>
        <w:autoSpaceDE w:val="0"/>
        <w:autoSpaceDN w:val="0"/>
        <w:adjustRightInd w:val="0"/>
        <w:spacing w:after="0" w:line="241" w:lineRule="atLeast"/>
        <w:ind w:left="0"/>
      </w:pPr>
    </w:p>
    <w:p w14:paraId="7C71BA90" w14:textId="77777777" w:rsidR="00B60DE3" w:rsidRPr="00744801" w:rsidRDefault="00B60DE3" w:rsidP="00B60DE3">
      <w:pPr>
        <w:pStyle w:val="ListParagraph"/>
        <w:autoSpaceDE w:val="0"/>
        <w:autoSpaceDN w:val="0"/>
        <w:adjustRightInd w:val="0"/>
        <w:spacing w:after="0" w:line="241" w:lineRule="atLeast"/>
        <w:ind w:left="0"/>
        <w:rPr>
          <w:rFonts w:cs="KFEYB M+ News Gothic BT"/>
        </w:rPr>
      </w:pPr>
      <w:r w:rsidRPr="00744801">
        <w:rPr>
          <w:rFonts w:cs="KFEYB M+ News Gothic BT"/>
        </w:rPr>
        <w:t xml:space="preserve">Our future commitments include: </w:t>
      </w:r>
    </w:p>
    <w:p w14:paraId="320F1236" w14:textId="77777777" w:rsidR="00B60DE3" w:rsidRPr="00744801" w:rsidRDefault="00B60DE3" w:rsidP="00156FBC">
      <w:pPr>
        <w:pStyle w:val="ListParagraph"/>
        <w:autoSpaceDE w:val="0"/>
        <w:autoSpaceDN w:val="0"/>
        <w:adjustRightInd w:val="0"/>
        <w:spacing w:after="0" w:line="241" w:lineRule="atLeast"/>
        <w:ind w:left="0"/>
        <w:rPr>
          <w:rFonts w:cs="KFEYB M+ News Gothic BT"/>
        </w:rPr>
      </w:pPr>
    </w:p>
    <w:p w14:paraId="073A6AAD" w14:textId="62D3A62F" w:rsidR="005D5D18" w:rsidRPr="00744801" w:rsidRDefault="005D5D18" w:rsidP="00C30B14">
      <w:pPr>
        <w:pStyle w:val="Pa2"/>
        <w:numPr>
          <w:ilvl w:val="0"/>
          <w:numId w:val="6"/>
        </w:numPr>
        <w:spacing w:line="240" w:lineRule="auto"/>
        <w:rPr>
          <w:rStyle w:val="A4"/>
          <w:rFonts w:asciiTheme="minorHAnsi" w:hAnsiTheme="minorHAnsi"/>
          <w:color w:val="auto"/>
          <w:sz w:val="22"/>
          <w:szCs w:val="22"/>
        </w:rPr>
      </w:pPr>
      <w:r w:rsidRPr="00744801">
        <w:rPr>
          <w:rStyle w:val="A4"/>
          <w:rFonts w:asciiTheme="minorHAnsi" w:hAnsiTheme="minorHAnsi"/>
          <w:color w:val="auto"/>
          <w:sz w:val="22"/>
          <w:szCs w:val="22"/>
        </w:rPr>
        <w:t>Activities to improve the ethnicity disclosure rate</w:t>
      </w:r>
    </w:p>
    <w:p w14:paraId="671B2625" w14:textId="79ABC8AB" w:rsidR="00156FBC" w:rsidRPr="00744801" w:rsidRDefault="00156FBC" w:rsidP="00156F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1" w:lineRule="atLeast"/>
        <w:rPr>
          <w:rFonts w:cs="KFEYB M+ News Gothic BT"/>
        </w:rPr>
      </w:pPr>
      <w:r w:rsidRPr="00744801">
        <w:rPr>
          <w:rFonts w:cs="KFEYB M+ News Gothic BT"/>
        </w:rPr>
        <w:t xml:space="preserve">Continuing analysis of recruitment, retention and progression at different levels  </w:t>
      </w:r>
    </w:p>
    <w:p w14:paraId="42F6F187" w14:textId="77777777" w:rsidR="00151525" w:rsidRPr="00744801" w:rsidRDefault="00151525" w:rsidP="001515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1" w:lineRule="atLeast"/>
        <w:rPr>
          <w:rFonts w:cs="KFEYB M+ News Gothic BT"/>
        </w:rPr>
      </w:pPr>
      <w:r w:rsidRPr="00744801">
        <w:rPr>
          <w:rFonts w:cs="KFEYB M+ News Gothic BT"/>
        </w:rPr>
        <w:t>A recruitment project with the aim of broadening our reach and ensuring that our recruitment practices are inclusive</w:t>
      </w:r>
    </w:p>
    <w:p w14:paraId="519BE7D3" w14:textId="77777777" w:rsidR="00C54960" w:rsidRPr="00744801" w:rsidRDefault="00C54960" w:rsidP="00C5496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1" w:lineRule="atLeast"/>
        <w:rPr>
          <w:rFonts w:cs="KFEYB M+ News Gothic BT"/>
        </w:rPr>
      </w:pPr>
      <w:r w:rsidRPr="00744801">
        <w:rPr>
          <w:rFonts w:cs="KFEYB M+ News Gothic BT"/>
        </w:rPr>
        <w:t>Continuing positive action as both an employer and an education provider to encourage BAME individuals into leadership and management roles or areas where there is poor participation</w:t>
      </w:r>
    </w:p>
    <w:p w14:paraId="1793353B" w14:textId="77777777" w:rsidR="00156FBC" w:rsidRPr="00744801" w:rsidRDefault="00156FBC" w:rsidP="00156F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1" w:lineRule="atLeast"/>
        <w:rPr>
          <w:rFonts w:cs="KFEYB M+ News Gothic BT"/>
        </w:rPr>
      </w:pPr>
      <w:r w:rsidRPr="00744801">
        <w:rPr>
          <w:rFonts w:cs="KFEYB M+ News Gothic BT"/>
        </w:rPr>
        <w:t xml:space="preserve">Further embedding of the performance development process to ensure that career conversations take place </w:t>
      </w:r>
    </w:p>
    <w:p w14:paraId="056DDF78" w14:textId="77777777" w:rsidR="00156FBC" w:rsidRPr="00744801" w:rsidRDefault="00156FBC" w:rsidP="00156F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1" w:lineRule="atLeast"/>
        <w:rPr>
          <w:rFonts w:cs="KFEYB M+ News Gothic BT"/>
        </w:rPr>
      </w:pPr>
      <w:r w:rsidRPr="00744801">
        <w:rPr>
          <w:rFonts w:cs="KFEYB M+ News Gothic BT"/>
        </w:rPr>
        <w:t xml:space="preserve">Further development of diversity and inclusion skills, behaviours and practices including the mitigation of unconscious bias and challenge of stereotypes  </w:t>
      </w:r>
    </w:p>
    <w:p w14:paraId="4635A147" w14:textId="2F7F3827" w:rsidR="00637AF4" w:rsidRPr="00744801" w:rsidRDefault="00637AF4" w:rsidP="00637AF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1" w:lineRule="atLeast"/>
        <w:rPr>
          <w:rFonts w:cs="KFEYB M+ News Gothic BT"/>
        </w:rPr>
      </w:pPr>
      <w:r w:rsidRPr="00744801">
        <w:rPr>
          <w:rFonts w:cs="KFEYB M+ News Gothic BT"/>
        </w:rPr>
        <w:t xml:space="preserve">Active promotion of flexible and agile working arrangements for existing and potential employees; including </w:t>
      </w:r>
      <w:r w:rsidRPr="00744801">
        <w:t xml:space="preserve">the promotion of flexible working at an early recruitment stage </w:t>
      </w:r>
    </w:p>
    <w:p w14:paraId="361FE4AB" w14:textId="77777777" w:rsidR="009F72A6" w:rsidRPr="00744801" w:rsidRDefault="009F72A6" w:rsidP="009F72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KFEYB M+ DIN"/>
        </w:rPr>
      </w:pPr>
      <w:r w:rsidRPr="00744801">
        <w:t>Implementation of the real living wage from January 2022</w:t>
      </w:r>
    </w:p>
    <w:p w14:paraId="12790413" w14:textId="6DB21EE1" w:rsidR="00430CAA" w:rsidRPr="00744801" w:rsidRDefault="00637AF4" w:rsidP="007349D9">
      <w:pPr>
        <w:pStyle w:val="Default"/>
        <w:numPr>
          <w:ilvl w:val="0"/>
          <w:numId w:val="6"/>
        </w:numPr>
        <w:spacing w:line="241" w:lineRule="atLeast"/>
        <w:ind w:hanging="357"/>
        <w:contextualSpacing/>
        <w:rPr>
          <w:color w:val="auto"/>
        </w:rPr>
      </w:pPr>
      <w:r w:rsidRPr="00744801">
        <w:rPr>
          <w:rFonts w:ascii="Calibri" w:hAnsi="Calibri" w:cs="Calibri"/>
          <w:color w:val="auto"/>
          <w:sz w:val="22"/>
          <w:szCs w:val="22"/>
        </w:rPr>
        <w:t xml:space="preserve">A Diversity and Inclusion (D&amp;I) </w:t>
      </w:r>
      <w:proofErr w:type="gramStart"/>
      <w:r w:rsidRPr="00744801">
        <w:rPr>
          <w:rFonts w:ascii="Calibri" w:hAnsi="Calibri" w:cs="Calibri"/>
          <w:color w:val="auto"/>
          <w:sz w:val="22"/>
          <w:szCs w:val="22"/>
        </w:rPr>
        <w:t>four year</w:t>
      </w:r>
      <w:proofErr w:type="gramEnd"/>
      <w:r w:rsidRPr="00744801">
        <w:rPr>
          <w:rFonts w:ascii="Calibri" w:hAnsi="Calibri" w:cs="Calibri"/>
          <w:color w:val="auto"/>
          <w:sz w:val="22"/>
          <w:szCs w:val="22"/>
        </w:rPr>
        <w:t xml:space="preserve"> strategy with specific objectives around empowering a D&amp;I focused community and a demonstrable inclusive culture</w:t>
      </w:r>
      <w:r w:rsidR="00D86232" w:rsidRPr="00744801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3B99C75" w14:textId="77CCF661" w:rsidR="009F72A6" w:rsidRDefault="009F72A6">
      <w:pPr>
        <w:rPr>
          <w:rFonts w:ascii="Calibri" w:hAnsi="Calibri" w:cs="Calibri"/>
        </w:rPr>
      </w:pPr>
    </w:p>
    <w:sectPr w:rsidR="009F72A6" w:rsidSect="00682B6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683D3" w14:textId="77777777" w:rsidR="00753A36" w:rsidRDefault="00753A36" w:rsidP="00C81EB5">
      <w:pPr>
        <w:spacing w:after="0" w:line="240" w:lineRule="auto"/>
      </w:pPr>
      <w:r>
        <w:separator/>
      </w:r>
    </w:p>
  </w:endnote>
  <w:endnote w:type="continuationSeparator" w:id="0">
    <w:p w14:paraId="70857741" w14:textId="77777777" w:rsidR="00753A36" w:rsidRDefault="00753A36" w:rsidP="00C8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FEYB M+ 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FEYB M+ News Gothic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4492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200653" w14:textId="77777777" w:rsidR="007F037E" w:rsidRDefault="007F03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4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9F5946" w14:textId="77777777" w:rsidR="007F037E" w:rsidRDefault="007F0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72658" w14:textId="77777777" w:rsidR="00753A36" w:rsidRDefault="00753A36" w:rsidP="00C81EB5">
      <w:pPr>
        <w:spacing w:after="0" w:line="240" w:lineRule="auto"/>
      </w:pPr>
      <w:r>
        <w:separator/>
      </w:r>
    </w:p>
  </w:footnote>
  <w:footnote w:type="continuationSeparator" w:id="0">
    <w:p w14:paraId="2CBC8D67" w14:textId="77777777" w:rsidR="00753A36" w:rsidRDefault="00753A36" w:rsidP="00C8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734"/>
    <w:multiLevelType w:val="hybridMultilevel"/>
    <w:tmpl w:val="BEBA8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5E31"/>
    <w:multiLevelType w:val="multilevel"/>
    <w:tmpl w:val="9DB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57649"/>
    <w:multiLevelType w:val="hybridMultilevel"/>
    <w:tmpl w:val="6172CF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7D04"/>
    <w:multiLevelType w:val="hybridMultilevel"/>
    <w:tmpl w:val="D0E445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23696"/>
    <w:multiLevelType w:val="hybridMultilevel"/>
    <w:tmpl w:val="AAA87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C752D"/>
    <w:multiLevelType w:val="hybridMultilevel"/>
    <w:tmpl w:val="56B6E1D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D7B075C"/>
    <w:multiLevelType w:val="hybridMultilevel"/>
    <w:tmpl w:val="F3E2C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A511E"/>
    <w:multiLevelType w:val="hybridMultilevel"/>
    <w:tmpl w:val="41D023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62DD1"/>
    <w:multiLevelType w:val="hybridMultilevel"/>
    <w:tmpl w:val="A9E64B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A665C0"/>
    <w:multiLevelType w:val="hybridMultilevel"/>
    <w:tmpl w:val="A8DEE6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07459"/>
    <w:multiLevelType w:val="hybridMultilevel"/>
    <w:tmpl w:val="8318B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C24CE"/>
    <w:multiLevelType w:val="hybridMultilevel"/>
    <w:tmpl w:val="7CF67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527CB"/>
    <w:multiLevelType w:val="multilevel"/>
    <w:tmpl w:val="B0E8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0C7D56"/>
    <w:multiLevelType w:val="hybridMultilevel"/>
    <w:tmpl w:val="59BE2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65840"/>
    <w:multiLevelType w:val="hybridMultilevel"/>
    <w:tmpl w:val="CBBA4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D28AF"/>
    <w:multiLevelType w:val="hybridMultilevel"/>
    <w:tmpl w:val="D352A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62275"/>
    <w:multiLevelType w:val="hybridMultilevel"/>
    <w:tmpl w:val="59125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A51DC"/>
    <w:multiLevelType w:val="hybridMultilevel"/>
    <w:tmpl w:val="7A349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60283"/>
    <w:multiLevelType w:val="hybridMultilevel"/>
    <w:tmpl w:val="326C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9"/>
  </w:num>
  <w:num w:numId="5">
    <w:abstractNumId w:val="15"/>
  </w:num>
  <w:num w:numId="6">
    <w:abstractNumId w:val="17"/>
  </w:num>
  <w:num w:numId="7">
    <w:abstractNumId w:val="5"/>
  </w:num>
  <w:num w:numId="8">
    <w:abstractNumId w:val="1"/>
  </w:num>
  <w:num w:numId="9">
    <w:abstractNumId w:val="12"/>
  </w:num>
  <w:num w:numId="10">
    <w:abstractNumId w:val="3"/>
  </w:num>
  <w:num w:numId="11">
    <w:abstractNumId w:val="8"/>
  </w:num>
  <w:num w:numId="12">
    <w:abstractNumId w:val="14"/>
  </w:num>
  <w:num w:numId="13">
    <w:abstractNumId w:val="10"/>
  </w:num>
  <w:num w:numId="14">
    <w:abstractNumId w:val="18"/>
  </w:num>
  <w:num w:numId="15">
    <w:abstractNumId w:val="6"/>
  </w:num>
  <w:num w:numId="16">
    <w:abstractNumId w:val="13"/>
  </w:num>
  <w:num w:numId="17">
    <w:abstractNumId w:val="4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30"/>
    <w:rsid w:val="000017BB"/>
    <w:rsid w:val="0000229B"/>
    <w:rsid w:val="00002C14"/>
    <w:rsid w:val="00012D3A"/>
    <w:rsid w:val="0001317C"/>
    <w:rsid w:val="00013A6B"/>
    <w:rsid w:val="00020686"/>
    <w:rsid w:val="00033348"/>
    <w:rsid w:val="00041FA6"/>
    <w:rsid w:val="000431CC"/>
    <w:rsid w:val="00057C95"/>
    <w:rsid w:val="00064192"/>
    <w:rsid w:val="000649F3"/>
    <w:rsid w:val="00064D6B"/>
    <w:rsid w:val="00066262"/>
    <w:rsid w:val="000700EB"/>
    <w:rsid w:val="00075217"/>
    <w:rsid w:val="0007594D"/>
    <w:rsid w:val="00077AE3"/>
    <w:rsid w:val="000868C6"/>
    <w:rsid w:val="00094311"/>
    <w:rsid w:val="00094E8C"/>
    <w:rsid w:val="000A0531"/>
    <w:rsid w:val="000A1D85"/>
    <w:rsid w:val="000A3E95"/>
    <w:rsid w:val="000A65FA"/>
    <w:rsid w:val="000A7FEC"/>
    <w:rsid w:val="000B18B1"/>
    <w:rsid w:val="000B4F87"/>
    <w:rsid w:val="000B7A7F"/>
    <w:rsid w:val="000C0901"/>
    <w:rsid w:val="000C6C9D"/>
    <w:rsid w:val="000C6D1B"/>
    <w:rsid w:val="000C6E59"/>
    <w:rsid w:val="000D2890"/>
    <w:rsid w:val="000F3AC6"/>
    <w:rsid w:val="00111108"/>
    <w:rsid w:val="00111451"/>
    <w:rsid w:val="001137A5"/>
    <w:rsid w:val="001200CE"/>
    <w:rsid w:val="0012092B"/>
    <w:rsid w:val="00125436"/>
    <w:rsid w:val="00130FC4"/>
    <w:rsid w:val="00137395"/>
    <w:rsid w:val="00145476"/>
    <w:rsid w:val="00151525"/>
    <w:rsid w:val="00156FBC"/>
    <w:rsid w:val="001651E7"/>
    <w:rsid w:val="00165F5E"/>
    <w:rsid w:val="001701E0"/>
    <w:rsid w:val="00170DCA"/>
    <w:rsid w:val="0017534A"/>
    <w:rsid w:val="00192B2E"/>
    <w:rsid w:val="0019672E"/>
    <w:rsid w:val="00196C80"/>
    <w:rsid w:val="001A1D0B"/>
    <w:rsid w:val="001B03E8"/>
    <w:rsid w:val="001C256E"/>
    <w:rsid w:val="001D158C"/>
    <w:rsid w:val="001F3B53"/>
    <w:rsid w:val="002008A8"/>
    <w:rsid w:val="00200DBB"/>
    <w:rsid w:val="00206A48"/>
    <w:rsid w:val="00207105"/>
    <w:rsid w:val="00207BCA"/>
    <w:rsid w:val="0021646C"/>
    <w:rsid w:val="002316CE"/>
    <w:rsid w:val="00241D20"/>
    <w:rsid w:val="00257310"/>
    <w:rsid w:val="00260DDB"/>
    <w:rsid w:val="0026210C"/>
    <w:rsid w:val="00265131"/>
    <w:rsid w:val="002674C3"/>
    <w:rsid w:val="002755A9"/>
    <w:rsid w:val="002825A0"/>
    <w:rsid w:val="002832D6"/>
    <w:rsid w:val="002A16BC"/>
    <w:rsid w:val="002A217B"/>
    <w:rsid w:val="002A32C2"/>
    <w:rsid w:val="002A6485"/>
    <w:rsid w:val="002B1AD3"/>
    <w:rsid w:val="002B77D5"/>
    <w:rsid w:val="002C1BDE"/>
    <w:rsid w:val="002C2F0E"/>
    <w:rsid w:val="002C65FD"/>
    <w:rsid w:val="002E565E"/>
    <w:rsid w:val="002E7BAE"/>
    <w:rsid w:val="002F7061"/>
    <w:rsid w:val="00323A5E"/>
    <w:rsid w:val="00330062"/>
    <w:rsid w:val="00341198"/>
    <w:rsid w:val="0034207E"/>
    <w:rsid w:val="00350BBD"/>
    <w:rsid w:val="00352E49"/>
    <w:rsid w:val="003567F0"/>
    <w:rsid w:val="003718DF"/>
    <w:rsid w:val="00375D58"/>
    <w:rsid w:val="00376302"/>
    <w:rsid w:val="00382B8C"/>
    <w:rsid w:val="00394109"/>
    <w:rsid w:val="00395582"/>
    <w:rsid w:val="00396A58"/>
    <w:rsid w:val="003A501E"/>
    <w:rsid w:val="003A51E4"/>
    <w:rsid w:val="003C027D"/>
    <w:rsid w:val="003C43CA"/>
    <w:rsid w:val="003D4E4B"/>
    <w:rsid w:val="003D77AE"/>
    <w:rsid w:val="003D798F"/>
    <w:rsid w:val="003E3C42"/>
    <w:rsid w:val="003E5AE9"/>
    <w:rsid w:val="003F2870"/>
    <w:rsid w:val="00400C32"/>
    <w:rsid w:val="00401C95"/>
    <w:rsid w:val="00413513"/>
    <w:rsid w:val="00417CE6"/>
    <w:rsid w:val="00430CAA"/>
    <w:rsid w:val="00444186"/>
    <w:rsid w:val="004455A3"/>
    <w:rsid w:val="004551A7"/>
    <w:rsid w:val="00457CEC"/>
    <w:rsid w:val="0046734B"/>
    <w:rsid w:val="004716A6"/>
    <w:rsid w:val="00473BA4"/>
    <w:rsid w:val="0049181C"/>
    <w:rsid w:val="0049692E"/>
    <w:rsid w:val="00497474"/>
    <w:rsid w:val="004A307E"/>
    <w:rsid w:val="004A5BDA"/>
    <w:rsid w:val="004A63C8"/>
    <w:rsid w:val="004B3204"/>
    <w:rsid w:val="004B6730"/>
    <w:rsid w:val="004B7EDE"/>
    <w:rsid w:val="004C2EAF"/>
    <w:rsid w:val="004C3A53"/>
    <w:rsid w:val="004D38C0"/>
    <w:rsid w:val="004D79FD"/>
    <w:rsid w:val="004E73ED"/>
    <w:rsid w:val="004E79F5"/>
    <w:rsid w:val="004F5C4A"/>
    <w:rsid w:val="00505A4B"/>
    <w:rsid w:val="0051135F"/>
    <w:rsid w:val="0051561B"/>
    <w:rsid w:val="00525DBB"/>
    <w:rsid w:val="0052637A"/>
    <w:rsid w:val="00542FED"/>
    <w:rsid w:val="0054619A"/>
    <w:rsid w:val="00547775"/>
    <w:rsid w:val="00551275"/>
    <w:rsid w:val="005553CD"/>
    <w:rsid w:val="00562D69"/>
    <w:rsid w:val="00563433"/>
    <w:rsid w:val="0056540B"/>
    <w:rsid w:val="00574979"/>
    <w:rsid w:val="00574CE0"/>
    <w:rsid w:val="00576C47"/>
    <w:rsid w:val="005773E6"/>
    <w:rsid w:val="0058182E"/>
    <w:rsid w:val="00591036"/>
    <w:rsid w:val="0059340C"/>
    <w:rsid w:val="00595F1C"/>
    <w:rsid w:val="005B7818"/>
    <w:rsid w:val="005C428E"/>
    <w:rsid w:val="005C5052"/>
    <w:rsid w:val="005C6AA0"/>
    <w:rsid w:val="005D057E"/>
    <w:rsid w:val="005D5D18"/>
    <w:rsid w:val="005E5A1B"/>
    <w:rsid w:val="005F54DD"/>
    <w:rsid w:val="0060112D"/>
    <w:rsid w:val="00613E53"/>
    <w:rsid w:val="00622E67"/>
    <w:rsid w:val="00625E9A"/>
    <w:rsid w:val="00626CE9"/>
    <w:rsid w:val="0063755E"/>
    <w:rsid w:val="00637AF4"/>
    <w:rsid w:val="00637C51"/>
    <w:rsid w:val="00640774"/>
    <w:rsid w:val="00653C74"/>
    <w:rsid w:val="00654C0B"/>
    <w:rsid w:val="006813A1"/>
    <w:rsid w:val="00682B66"/>
    <w:rsid w:val="00690D68"/>
    <w:rsid w:val="00692385"/>
    <w:rsid w:val="0069285C"/>
    <w:rsid w:val="006950DD"/>
    <w:rsid w:val="006C65EA"/>
    <w:rsid w:val="006D2BD6"/>
    <w:rsid w:val="006D2EFB"/>
    <w:rsid w:val="006E263E"/>
    <w:rsid w:val="006E4EDF"/>
    <w:rsid w:val="006E68BE"/>
    <w:rsid w:val="006E6BF3"/>
    <w:rsid w:val="006F3962"/>
    <w:rsid w:val="00703E90"/>
    <w:rsid w:val="00710B1D"/>
    <w:rsid w:val="00721E8A"/>
    <w:rsid w:val="0073001D"/>
    <w:rsid w:val="00732F29"/>
    <w:rsid w:val="00741AD5"/>
    <w:rsid w:val="00744801"/>
    <w:rsid w:val="00753A36"/>
    <w:rsid w:val="00754567"/>
    <w:rsid w:val="00780714"/>
    <w:rsid w:val="00783A70"/>
    <w:rsid w:val="007A582B"/>
    <w:rsid w:val="007A658B"/>
    <w:rsid w:val="007A75BF"/>
    <w:rsid w:val="007B0172"/>
    <w:rsid w:val="007B0A13"/>
    <w:rsid w:val="007C4B77"/>
    <w:rsid w:val="007D1D54"/>
    <w:rsid w:val="007D534C"/>
    <w:rsid w:val="007D5650"/>
    <w:rsid w:val="007D6D8B"/>
    <w:rsid w:val="007E5244"/>
    <w:rsid w:val="007E6D45"/>
    <w:rsid w:val="007F037E"/>
    <w:rsid w:val="007F0447"/>
    <w:rsid w:val="00805CF9"/>
    <w:rsid w:val="008118E9"/>
    <w:rsid w:val="008162F1"/>
    <w:rsid w:val="00834533"/>
    <w:rsid w:val="00842F6D"/>
    <w:rsid w:val="00845468"/>
    <w:rsid w:val="00847F67"/>
    <w:rsid w:val="00853EA1"/>
    <w:rsid w:val="008552B4"/>
    <w:rsid w:val="00855614"/>
    <w:rsid w:val="00866CB9"/>
    <w:rsid w:val="00867350"/>
    <w:rsid w:val="00867C7C"/>
    <w:rsid w:val="0087249A"/>
    <w:rsid w:val="00872790"/>
    <w:rsid w:val="0087340A"/>
    <w:rsid w:val="0089302F"/>
    <w:rsid w:val="0089376C"/>
    <w:rsid w:val="00897C1F"/>
    <w:rsid w:val="008A6A5A"/>
    <w:rsid w:val="008A6D6B"/>
    <w:rsid w:val="008B2979"/>
    <w:rsid w:val="008C44A8"/>
    <w:rsid w:val="008D22A3"/>
    <w:rsid w:val="008D2937"/>
    <w:rsid w:val="008E1B74"/>
    <w:rsid w:val="008E3311"/>
    <w:rsid w:val="008E35D7"/>
    <w:rsid w:val="008F1F4C"/>
    <w:rsid w:val="00902CD4"/>
    <w:rsid w:val="0090648D"/>
    <w:rsid w:val="0090721E"/>
    <w:rsid w:val="00910472"/>
    <w:rsid w:val="0091091D"/>
    <w:rsid w:val="0091139F"/>
    <w:rsid w:val="00915937"/>
    <w:rsid w:val="00920904"/>
    <w:rsid w:val="00926DC9"/>
    <w:rsid w:val="009315DB"/>
    <w:rsid w:val="00940E25"/>
    <w:rsid w:val="00943575"/>
    <w:rsid w:val="009435F9"/>
    <w:rsid w:val="009716EA"/>
    <w:rsid w:val="00976432"/>
    <w:rsid w:val="00984BFC"/>
    <w:rsid w:val="009861F8"/>
    <w:rsid w:val="009921D9"/>
    <w:rsid w:val="00993217"/>
    <w:rsid w:val="0099632F"/>
    <w:rsid w:val="009A0E5A"/>
    <w:rsid w:val="009A2958"/>
    <w:rsid w:val="009B2D48"/>
    <w:rsid w:val="009B541A"/>
    <w:rsid w:val="009C014C"/>
    <w:rsid w:val="009C599D"/>
    <w:rsid w:val="009D1582"/>
    <w:rsid w:val="009D2820"/>
    <w:rsid w:val="009D7AAB"/>
    <w:rsid w:val="009F1626"/>
    <w:rsid w:val="009F72A6"/>
    <w:rsid w:val="00A040FE"/>
    <w:rsid w:val="00A07F7F"/>
    <w:rsid w:val="00A31EFC"/>
    <w:rsid w:val="00A33F86"/>
    <w:rsid w:val="00A44639"/>
    <w:rsid w:val="00A5004A"/>
    <w:rsid w:val="00A528C4"/>
    <w:rsid w:val="00A54867"/>
    <w:rsid w:val="00A54CDB"/>
    <w:rsid w:val="00A56A29"/>
    <w:rsid w:val="00A607E6"/>
    <w:rsid w:val="00A60965"/>
    <w:rsid w:val="00A63140"/>
    <w:rsid w:val="00A64893"/>
    <w:rsid w:val="00A776AF"/>
    <w:rsid w:val="00A77F23"/>
    <w:rsid w:val="00A81105"/>
    <w:rsid w:val="00A9256D"/>
    <w:rsid w:val="00AA0CBB"/>
    <w:rsid w:val="00AA1087"/>
    <w:rsid w:val="00AA284D"/>
    <w:rsid w:val="00AB2A8B"/>
    <w:rsid w:val="00AB3BDD"/>
    <w:rsid w:val="00AC130C"/>
    <w:rsid w:val="00AC2A18"/>
    <w:rsid w:val="00AC42D2"/>
    <w:rsid w:val="00AC44F3"/>
    <w:rsid w:val="00AE3C89"/>
    <w:rsid w:val="00AE460E"/>
    <w:rsid w:val="00B14058"/>
    <w:rsid w:val="00B250AF"/>
    <w:rsid w:val="00B32704"/>
    <w:rsid w:val="00B33DBC"/>
    <w:rsid w:val="00B34A64"/>
    <w:rsid w:val="00B35F5B"/>
    <w:rsid w:val="00B370B7"/>
    <w:rsid w:val="00B416A0"/>
    <w:rsid w:val="00B56359"/>
    <w:rsid w:val="00B60A91"/>
    <w:rsid w:val="00B60DE3"/>
    <w:rsid w:val="00B62810"/>
    <w:rsid w:val="00B66C83"/>
    <w:rsid w:val="00B715D9"/>
    <w:rsid w:val="00B753FC"/>
    <w:rsid w:val="00B757AC"/>
    <w:rsid w:val="00B810A9"/>
    <w:rsid w:val="00B838D7"/>
    <w:rsid w:val="00B84F05"/>
    <w:rsid w:val="00BA0FC7"/>
    <w:rsid w:val="00BC0557"/>
    <w:rsid w:val="00BC08DC"/>
    <w:rsid w:val="00BC130E"/>
    <w:rsid w:val="00BD7428"/>
    <w:rsid w:val="00BE1E95"/>
    <w:rsid w:val="00BE2171"/>
    <w:rsid w:val="00BE3EE6"/>
    <w:rsid w:val="00BE7065"/>
    <w:rsid w:val="00BF0325"/>
    <w:rsid w:val="00BF0BC5"/>
    <w:rsid w:val="00C17AAA"/>
    <w:rsid w:val="00C17C95"/>
    <w:rsid w:val="00C2015F"/>
    <w:rsid w:val="00C30B14"/>
    <w:rsid w:val="00C413B0"/>
    <w:rsid w:val="00C41EA7"/>
    <w:rsid w:val="00C42DE4"/>
    <w:rsid w:val="00C444A9"/>
    <w:rsid w:val="00C52AAB"/>
    <w:rsid w:val="00C54960"/>
    <w:rsid w:val="00C61CE1"/>
    <w:rsid w:val="00C7034C"/>
    <w:rsid w:val="00C731D8"/>
    <w:rsid w:val="00C757FE"/>
    <w:rsid w:val="00C81A95"/>
    <w:rsid w:val="00C81EB5"/>
    <w:rsid w:val="00C834EF"/>
    <w:rsid w:val="00C97EEA"/>
    <w:rsid w:val="00CA20C2"/>
    <w:rsid w:val="00CA3421"/>
    <w:rsid w:val="00CC09D7"/>
    <w:rsid w:val="00CC3CFF"/>
    <w:rsid w:val="00CC6A7A"/>
    <w:rsid w:val="00CD5785"/>
    <w:rsid w:val="00CD58DB"/>
    <w:rsid w:val="00CD6AD4"/>
    <w:rsid w:val="00CE0749"/>
    <w:rsid w:val="00CF2592"/>
    <w:rsid w:val="00D13EC1"/>
    <w:rsid w:val="00D21868"/>
    <w:rsid w:val="00D35F9D"/>
    <w:rsid w:val="00D45997"/>
    <w:rsid w:val="00D46569"/>
    <w:rsid w:val="00D503FA"/>
    <w:rsid w:val="00D50FDD"/>
    <w:rsid w:val="00D54318"/>
    <w:rsid w:val="00D565B5"/>
    <w:rsid w:val="00D67323"/>
    <w:rsid w:val="00D72D65"/>
    <w:rsid w:val="00D755E7"/>
    <w:rsid w:val="00D83162"/>
    <w:rsid w:val="00D84B03"/>
    <w:rsid w:val="00D86232"/>
    <w:rsid w:val="00D90B49"/>
    <w:rsid w:val="00DB0873"/>
    <w:rsid w:val="00DB13CC"/>
    <w:rsid w:val="00DC7BF2"/>
    <w:rsid w:val="00DD0BCD"/>
    <w:rsid w:val="00DD1AA1"/>
    <w:rsid w:val="00DD7B25"/>
    <w:rsid w:val="00DE039F"/>
    <w:rsid w:val="00DE3606"/>
    <w:rsid w:val="00DF77ED"/>
    <w:rsid w:val="00DF7FD5"/>
    <w:rsid w:val="00E01FE4"/>
    <w:rsid w:val="00E14683"/>
    <w:rsid w:val="00E1545B"/>
    <w:rsid w:val="00E15679"/>
    <w:rsid w:val="00E20D30"/>
    <w:rsid w:val="00E20E25"/>
    <w:rsid w:val="00E31385"/>
    <w:rsid w:val="00E366D7"/>
    <w:rsid w:val="00E40110"/>
    <w:rsid w:val="00E477D0"/>
    <w:rsid w:val="00E5134B"/>
    <w:rsid w:val="00E52C68"/>
    <w:rsid w:val="00E57875"/>
    <w:rsid w:val="00E71E22"/>
    <w:rsid w:val="00E732F7"/>
    <w:rsid w:val="00E82CE3"/>
    <w:rsid w:val="00E82FBA"/>
    <w:rsid w:val="00E86711"/>
    <w:rsid w:val="00EA3A2E"/>
    <w:rsid w:val="00EB1ECA"/>
    <w:rsid w:val="00EB769B"/>
    <w:rsid w:val="00EC7A7B"/>
    <w:rsid w:val="00ED5744"/>
    <w:rsid w:val="00ED718D"/>
    <w:rsid w:val="00ED7B98"/>
    <w:rsid w:val="00EE3685"/>
    <w:rsid w:val="00EE36DE"/>
    <w:rsid w:val="00EE7F1A"/>
    <w:rsid w:val="00F053AE"/>
    <w:rsid w:val="00F06300"/>
    <w:rsid w:val="00F12727"/>
    <w:rsid w:val="00F1472D"/>
    <w:rsid w:val="00F1502A"/>
    <w:rsid w:val="00F23E98"/>
    <w:rsid w:val="00F44391"/>
    <w:rsid w:val="00F45698"/>
    <w:rsid w:val="00F5469F"/>
    <w:rsid w:val="00F66206"/>
    <w:rsid w:val="00F96974"/>
    <w:rsid w:val="00FA12CF"/>
    <w:rsid w:val="00FA50F3"/>
    <w:rsid w:val="00FA5290"/>
    <w:rsid w:val="00FB0797"/>
    <w:rsid w:val="00FB2689"/>
    <w:rsid w:val="00FB76D6"/>
    <w:rsid w:val="00FD2A50"/>
    <w:rsid w:val="00FD6C77"/>
    <w:rsid w:val="00FD6F2B"/>
    <w:rsid w:val="00FD7020"/>
    <w:rsid w:val="00FD7DD9"/>
    <w:rsid w:val="00FE2A76"/>
    <w:rsid w:val="00FE2BB4"/>
    <w:rsid w:val="00FE676C"/>
    <w:rsid w:val="00FE695D"/>
    <w:rsid w:val="00FE7FCB"/>
    <w:rsid w:val="00FF08C1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389C6"/>
  <w15:docId w15:val="{D4F9B2FA-DD02-4013-8312-C0CCBFB3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D30"/>
    <w:pPr>
      <w:ind w:left="720"/>
      <w:contextualSpacing/>
    </w:pPr>
  </w:style>
  <w:style w:type="table" w:styleId="TableGrid">
    <w:name w:val="Table Grid"/>
    <w:basedOn w:val="TableNormal"/>
    <w:uiPriority w:val="59"/>
    <w:rsid w:val="00E2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Normal"/>
    <w:next w:val="Normal"/>
    <w:uiPriority w:val="99"/>
    <w:rsid w:val="00E20D30"/>
    <w:pPr>
      <w:autoSpaceDE w:val="0"/>
      <w:autoSpaceDN w:val="0"/>
      <w:adjustRightInd w:val="0"/>
      <w:spacing w:after="0" w:line="241" w:lineRule="atLeast"/>
    </w:pPr>
    <w:rPr>
      <w:rFonts w:ascii="KFEYB M+ DIN" w:hAnsi="KFEYB M+ DIN"/>
      <w:sz w:val="24"/>
      <w:szCs w:val="24"/>
    </w:rPr>
  </w:style>
  <w:style w:type="character" w:customStyle="1" w:styleId="A16">
    <w:name w:val="A16"/>
    <w:uiPriority w:val="99"/>
    <w:rsid w:val="00E20D30"/>
    <w:rPr>
      <w:rFonts w:cs="KFEYB M+ DIN"/>
      <w:b/>
      <w:bCs/>
      <w:color w:val="ED192D"/>
      <w:sz w:val="33"/>
      <w:szCs w:val="33"/>
    </w:rPr>
  </w:style>
  <w:style w:type="paragraph" w:customStyle="1" w:styleId="Default">
    <w:name w:val="Default"/>
    <w:rsid w:val="00940E25"/>
    <w:pPr>
      <w:autoSpaceDE w:val="0"/>
      <w:autoSpaceDN w:val="0"/>
      <w:adjustRightInd w:val="0"/>
      <w:spacing w:after="0" w:line="240" w:lineRule="auto"/>
    </w:pPr>
    <w:rPr>
      <w:rFonts w:ascii="KFEYB M+ News Gothic BT" w:hAnsi="KFEYB M+ News Gothic BT" w:cs="KFEYB M+ News Gothic B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40E25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940E25"/>
    <w:rPr>
      <w:rFonts w:cs="KFEYB M+ News Gothic BT"/>
      <w:color w:val="211D1E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940E25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940E25"/>
    <w:rPr>
      <w:rFonts w:cs="KFEYB M+ News Gothic BT"/>
      <w:b/>
      <w:bCs/>
      <w:color w:val="070001"/>
      <w:sz w:val="10"/>
      <w:szCs w:val="10"/>
    </w:rPr>
  </w:style>
  <w:style w:type="character" w:customStyle="1" w:styleId="A7">
    <w:name w:val="A7"/>
    <w:uiPriority w:val="99"/>
    <w:rsid w:val="00940E25"/>
    <w:rPr>
      <w:rFonts w:cs="KFEYB M+ News Gothic BT"/>
      <w:color w:val="696666"/>
      <w:sz w:val="18"/>
      <w:szCs w:val="18"/>
    </w:rPr>
  </w:style>
  <w:style w:type="character" w:customStyle="1" w:styleId="A17">
    <w:name w:val="A17"/>
    <w:uiPriority w:val="99"/>
    <w:rsid w:val="00940E25"/>
    <w:rPr>
      <w:rFonts w:ascii="KFEYB M+ News Gothic BT" w:hAnsi="KFEYB M+ News Gothic BT" w:cs="KFEYB M+ News Gothic BT"/>
      <w:color w:val="211D1E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07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81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EB5"/>
  </w:style>
  <w:style w:type="paragraph" w:styleId="Footer">
    <w:name w:val="footer"/>
    <w:basedOn w:val="Normal"/>
    <w:link w:val="FooterChar"/>
    <w:uiPriority w:val="99"/>
    <w:unhideWhenUsed/>
    <w:rsid w:val="00C81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EB5"/>
  </w:style>
  <w:style w:type="paragraph" w:styleId="BalloonText">
    <w:name w:val="Balloon Text"/>
    <w:basedOn w:val="Normal"/>
    <w:link w:val="BalloonTextChar"/>
    <w:uiPriority w:val="99"/>
    <w:semiHidden/>
    <w:unhideWhenUsed/>
    <w:rsid w:val="0068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B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7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9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9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9F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E039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E71E22"/>
  </w:style>
  <w:style w:type="character" w:customStyle="1" w:styleId="eop">
    <w:name w:val="eop"/>
    <w:basedOn w:val="DefaultParagraphFont"/>
    <w:rsid w:val="00E71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s.gov.uk/employmentandlabourmarket/peopleinwork/earningsandworkinghours/articles/ethnicitypaygapsingreatbritain/201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A33C4982286468082E1503EBA020B" ma:contentTypeVersion="14" ma:contentTypeDescription="Create a new document." ma:contentTypeScope="" ma:versionID="6f9d9f14bbc62512b6d16e142314adfe">
  <xsd:schema xmlns:xsd="http://www.w3.org/2001/XMLSchema" xmlns:xs="http://www.w3.org/2001/XMLSchema" xmlns:p="http://schemas.microsoft.com/office/2006/metadata/properties" xmlns:ns3="4f23ca98-5d8d-4c9c-a0ed-ecdc29599020" xmlns:ns4="c3790c28-47b5-4a75-bbb5-de3ba56ad4e3" targetNamespace="http://schemas.microsoft.com/office/2006/metadata/properties" ma:root="true" ma:fieldsID="50379f7bc227987e9d0aad86903d07a9" ns3:_="" ns4:_="">
    <xsd:import namespace="4f23ca98-5d8d-4c9c-a0ed-ecdc29599020"/>
    <xsd:import namespace="c3790c28-47b5-4a75-bbb5-de3ba56ad4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3ca98-5d8d-4c9c-a0ed-ecdc29599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90c28-47b5-4a75-bbb5-de3ba56ad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42574-A18F-492B-B477-81EB62E135EF}">
  <ds:schemaRefs>
    <ds:schemaRef ds:uri="http://purl.org/dc/elements/1.1/"/>
    <ds:schemaRef ds:uri="http://schemas.microsoft.com/office/2006/metadata/properties"/>
    <ds:schemaRef ds:uri="4f23ca98-5d8d-4c9c-a0ed-ecdc2959902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3790c28-47b5-4a75-bbb5-de3ba56ad4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8C7223-9417-476E-8626-05C97DAD5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CB6FF-3C77-40BE-A3DC-16F42F697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3ca98-5d8d-4c9c-a0ed-ecdc29599020"/>
    <ds:schemaRef ds:uri="c3790c28-47b5-4a75-bbb5-de3ba56ad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4FAA1A-71F6-4BFD-BB88-EDE5A5B1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Coles</dc:creator>
  <cp:lastModifiedBy>Sam Coles (Samantha Coles)</cp:lastModifiedBy>
  <cp:revision>13</cp:revision>
  <cp:lastPrinted>2020-11-09T13:52:00Z</cp:lastPrinted>
  <dcterms:created xsi:type="dcterms:W3CDTF">2022-02-28T16:31:00Z</dcterms:created>
  <dcterms:modified xsi:type="dcterms:W3CDTF">2022-03-11T14:51:00Z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0x010100D73A33C4982286468082E1503EBA020B</vt:lpwstr>
  </property>
</Properties>
</file>