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09DD7" w14:textId="77777777" w:rsidR="008B2FCA" w:rsidRDefault="008B2FCA" w:rsidP="008B2FCA">
      <w:pPr>
        <w:spacing w:after="0" w:line="240" w:lineRule="auto"/>
        <w:rPr>
          <w:rFonts w:ascii="Calibri" w:eastAsia="Times New Roman" w:hAnsi="Calibri" w:cs="Calibri"/>
          <w:b/>
          <w:bCs/>
          <w:color w:val="000000" w:themeColor="text1"/>
          <w:sz w:val="36"/>
          <w:szCs w:val="36"/>
          <w:lang w:eastAsia="en-GB"/>
        </w:rPr>
      </w:pPr>
      <w:r w:rsidRPr="00B25A7F">
        <w:rPr>
          <w:rFonts w:ascii="Calibri" w:eastAsia="Times New Roman" w:hAnsi="Calibri" w:cs="Calibri"/>
          <w:b/>
          <w:bCs/>
          <w:color w:val="000000" w:themeColor="text1"/>
          <w:sz w:val="36"/>
          <w:szCs w:val="36"/>
          <w:lang w:eastAsia="en-GB"/>
        </w:rPr>
        <w:t xml:space="preserve">Summary of </w:t>
      </w:r>
      <w:r w:rsidR="0024332E">
        <w:rPr>
          <w:rFonts w:ascii="Calibri" w:eastAsia="Times New Roman" w:hAnsi="Calibri" w:cs="Calibri"/>
          <w:b/>
          <w:bCs/>
          <w:color w:val="000000" w:themeColor="text1"/>
          <w:sz w:val="36"/>
          <w:szCs w:val="36"/>
          <w:lang w:eastAsia="en-GB"/>
        </w:rPr>
        <w:t>student</w:t>
      </w:r>
      <w:r w:rsidRPr="00B25A7F">
        <w:rPr>
          <w:rFonts w:ascii="Calibri" w:eastAsia="Times New Roman" w:hAnsi="Calibri" w:cs="Calibri"/>
          <w:b/>
          <w:bCs/>
          <w:color w:val="000000" w:themeColor="text1"/>
          <w:sz w:val="36"/>
          <w:szCs w:val="36"/>
          <w:lang w:eastAsia="en-GB"/>
        </w:rPr>
        <w:t xml:space="preserve"> </w:t>
      </w:r>
      <w:r>
        <w:rPr>
          <w:rFonts w:ascii="Calibri" w:eastAsia="Times New Roman" w:hAnsi="Calibri" w:cs="Calibri"/>
          <w:b/>
          <w:bCs/>
          <w:color w:val="000000" w:themeColor="text1"/>
          <w:sz w:val="36"/>
          <w:szCs w:val="36"/>
          <w:lang w:eastAsia="en-GB"/>
        </w:rPr>
        <w:t>r</w:t>
      </w:r>
      <w:r w:rsidRPr="00B25A7F">
        <w:rPr>
          <w:rFonts w:ascii="Calibri" w:eastAsia="Times New Roman" w:hAnsi="Calibri" w:cs="Calibri"/>
          <w:b/>
          <w:bCs/>
          <w:color w:val="000000" w:themeColor="text1"/>
          <w:sz w:val="36"/>
          <w:szCs w:val="36"/>
          <w:lang w:eastAsia="en-GB"/>
        </w:rPr>
        <w:t xml:space="preserve">eturn to work </w:t>
      </w:r>
      <w:r>
        <w:rPr>
          <w:rFonts w:ascii="Calibri" w:eastAsia="Times New Roman" w:hAnsi="Calibri" w:cs="Calibri"/>
          <w:b/>
          <w:bCs/>
          <w:color w:val="000000" w:themeColor="text1"/>
          <w:sz w:val="36"/>
          <w:szCs w:val="36"/>
          <w:lang w:eastAsia="en-GB"/>
        </w:rPr>
        <w:t>survey</w:t>
      </w:r>
    </w:p>
    <w:p w14:paraId="6C14170C" w14:textId="77777777" w:rsidR="008B2FCA" w:rsidRDefault="008B2FCA" w:rsidP="008B2FCA">
      <w:pPr>
        <w:spacing w:after="0" w:line="240" w:lineRule="auto"/>
        <w:rPr>
          <w:rFonts w:ascii="Calibri" w:eastAsia="Times New Roman" w:hAnsi="Calibri" w:cs="Calibri"/>
          <w:b/>
          <w:bCs/>
          <w:color w:val="000000" w:themeColor="text1"/>
          <w:lang w:eastAsia="en-GB"/>
        </w:rPr>
      </w:pPr>
    </w:p>
    <w:p w14:paraId="59C50E4F" w14:textId="1D339ED1" w:rsidR="00EC43AF" w:rsidRDefault="008B2FCA" w:rsidP="008B2FCA">
      <w:pPr>
        <w:spacing w:after="0" w:line="240" w:lineRule="auto"/>
        <w:rPr>
          <w:rFonts w:ascii="Calibri" w:eastAsia="Times New Roman" w:hAnsi="Calibri" w:cs="Calibri"/>
          <w:bCs/>
          <w:color w:val="000000" w:themeColor="text1"/>
          <w:lang w:eastAsia="en-GB"/>
        </w:rPr>
      </w:pPr>
      <w:r>
        <w:rPr>
          <w:rFonts w:ascii="Calibri" w:eastAsia="Times New Roman" w:hAnsi="Calibri" w:cs="Calibri"/>
          <w:bCs/>
          <w:color w:val="000000" w:themeColor="text1"/>
          <w:lang w:eastAsia="en-GB"/>
        </w:rPr>
        <w:t xml:space="preserve">We asked </w:t>
      </w:r>
      <w:r w:rsidR="00EC43AF">
        <w:rPr>
          <w:rFonts w:ascii="Calibri" w:eastAsia="Times New Roman" w:hAnsi="Calibri" w:cs="Calibri"/>
          <w:bCs/>
          <w:color w:val="000000" w:themeColor="text1"/>
          <w:lang w:eastAsia="en-GB"/>
        </w:rPr>
        <w:t>student</w:t>
      </w:r>
      <w:r w:rsidR="00995B2D">
        <w:rPr>
          <w:rFonts w:ascii="Calibri" w:eastAsia="Times New Roman" w:hAnsi="Calibri" w:cs="Calibri"/>
          <w:bCs/>
          <w:color w:val="000000" w:themeColor="text1"/>
          <w:lang w:eastAsia="en-GB"/>
        </w:rPr>
        <w:t>s</w:t>
      </w:r>
      <w:r w:rsidR="00EC43AF">
        <w:rPr>
          <w:rFonts w:ascii="Calibri" w:eastAsia="Times New Roman" w:hAnsi="Calibri" w:cs="Calibri"/>
          <w:bCs/>
          <w:color w:val="000000" w:themeColor="text1"/>
          <w:lang w:eastAsia="en-GB"/>
        </w:rPr>
        <w:t xml:space="preserve"> returning to college to fill in a short questionnaire on their experiences.  We are delighted to confirm that overwhelming</w:t>
      </w:r>
      <w:r w:rsidR="00995B2D">
        <w:rPr>
          <w:rFonts w:ascii="Calibri" w:eastAsia="Times New Roman" w:hAnsi="Calibri" w:cs="Calibri"/>
          <w:bCs/>
          <w:color w:val="000000" w:themeColor="text1"/>
          <w:lang w:eastAsia="en-GB"/>
        </w:rPr>
        <w:t>ly</w:t>
      </w:r>
      <w:r w:rsidR="00EC43AF">
        <w:rPr>
          <w:rFonts w:ascii="Calibri" w:eastAsia="Times New Roman" w:hAnsi="Calibri" w:cs="Calibri"/>
          <w:bCs/>
          <w:color w:val="000000" w:themeColor="text1"/>
          <w:lang w:eastAsia="en-GB"/>
        </w:rPr>
        <w:t xml:space="preserve"> </w:t>
      </w:r>
      <w:r w:rsidR="00EC43AF">
        <w:rPr>
          <w:rFonts w:ascii="Calibri" w:eastAsia="Times New Roman" w:hAnsi="Calibri" w:cs="Calibri"/>
          <w:bCs/>
          <w:color w:val="000000" w:themeColor="text1"/>
          <w:lang w:eastAsia="en-GB"/>
        </w:rPr>
        <w:t>the return to college was a positive one.</w:t>
      </w:r>
    </w:p>
    <w:p w14:paraId="77C2DCB7" w14:textId="77777777" w:rsidR="00FD59B3" w:rsidRDefault="00FD59B3" w:rsidP="008B2FCA">
      <w:pPr>
        <w:spacing w:after="0" w:line="240" w:lineRule="auto"/>
        <w:rPr>
          <w:rFonts w:ascii="Calibri" w:eastAsia="Times New Roman" w:hAnsi="Calibri" w:cs="Calibri"/>
          <w:bCs/>
          <w:color w:val="000000" w:themeColor="text1"/>
          <w:lang w:eastAsia="en-GB"/>
        </w:rPr>
      </w:pPr>
    </w:p>
    <w:p w14:paraId="099A4787" w14:textId="77777777" w:rsidR="00EC43AF" w:rsidRDefault="00EC43AF" w:rsidP="008B2FCA">
      <w:pPr>
        <w:spacing w:after="0" w:line="240" w:lineRule="auto"/>
        <w:rPr>
          <w:rFonts w:ascii="Calibri" w:eastAsia="Times New Roman" w:hAnsi="Calibri" w:cs="Calibri"/>
          <w:b/>
          <w:bCs/>
          <w:color w:val="000000" w:themeColor="text1"/>
          <w:lang w:eastAsia="en-GB"/>
        </w:rPr>
      </w:pPr>
      <w:r>
        <w:rPr>
          <w:rFonts w:ascii="Calibri" w:eastAsia="Times New Roman" w:hAnsi="Calibri" w:cs="Calibri"/>
          <w:bCs/>
          <w:color w:val="000000" w:themeColor="text1"/>
          <w:lang w:eastAsia="en-GB"/>
        </w:rPr>
        <w:t xml:space="preserve">A summary of responses is shown below.  </w:t>
      </w:r>
    </w:p>
    <w:p w14:paraId="4417680E" w14:textId="77777777" w:rsidR="00EC43AF" w:rsidRDefault="00EC43AF" w:rsidP="00EC43AF"/>
    <w:tbl>
      <w:tblPr>
        <w:tblStyle w:val="TableGrid"/>
        <w:tblW w:w="0" w:type="auto"/>
        <w:tblLook w:val="04A0" w:firstRow="1" w:lastRow="0" w:firstColumn="1" w:lastColumn="0" w:noHBand="0" w:noVBand="1"/>
      </w:tblPr>
      <w:tblGrid>
        <w:gridCol w:w="9016"/>
      </w:tblGrid>
      <w:tr w:rsidR="00EC43AF" w14:paraId="7F22D736" w14:textId="77777777" w:rsidTr="00EC43AF">
        <w:tc>
          <w:tcPr>
            <w:tcW w:w="9016" w:type="dxa"/>
          </w:tcPr>
          <w:p w14:paraId="50FFC484" w14:textId="77777777" w:rsidR="00EC43AF" w:rsidRPr="00EC43AF" w:rsidRDefault="00EC43AF" w:rsidP="00EC43AF">
            <w:pPr>
              <w:rPr>
                <w:b/>
                <w:sz w:val="44"/>
                <w:szCs w:val="44"/>
              </w:rPr>
            </w:pPr>
            <w:r>
              <w:rPr>
                <w:b/>
                <w:sz w:val="44"/>
                <w:szCs w:val="44"/>
              </w:rPr>
              <w:t>S</w:t>
            </w:r>
            <w:r w:rsidRPr="00EC43AF">
              <w:rPr>
                <w:b/>
                <w:sz w:val="44"/>
                <w:szCs w:val="44"/>
              </w:rPr>
              <w:t>tudents gave a 4.48 safety rating out of 5</w:t>
            </w:r>
            <w:r>
              <w:rPr>
                <w:b/>
                <w:sz w:val="44"/>
                <w:szCs w:val="44"/>
              </w:rPr>
              <w:t xml:space="preserve"> o</w:t>
            </w:r>
            <w:r w:rsidRPr="00EC43AF">
              <w:rPr>
                <w:b/>
                <w:sz w:val="44"/>
                <w:szCs w:val="44"/>
              </w:rPr>
              <w:t xml:space="preserve">n being back at college </w:t>
            </w:r>
            <w:r>
              <w:rPr>
                <w:b/>
                <w:sz w:val="44"/>
                <w:szCs w:val="44"/>
              </w:rPr>
              <w:t xml:space="preserve">- a big thumbs up! </w:t>
            </w:r>
          </w:p>
        </w:tc>
      </w:tr>
    </w:tbl>
    <w:p w14:paraId="76A73BF5" w14:textId="77777777" w:rsidR="00EC43AF" w:rsidRDefault="00EC43AF" w:rsidP="00EC43AF"/>
    <w:p w14:paraId="01DFD45E" w14:textId="77777777" w:rsidR="00EC43AF" w:rsidRDefault="00EC43AF" w:rsidP="00EC43AF">
      <w:pPr>
        <w:pStyle w:val="ListParagraph"/>
        <w:numPr>
          <w:ilvl w:val="0"/>
          <w:numId w:val="11"/>
        </w:numPr>
      </w:pPr>
      <w:r w:rsidRPr="00EC43AF">
        <w:rPr>
          <w:b/>
        </w:rPr>
        <w:t>Before you left home, how safe did you feel about returning to college?</w:t>
      </w:r>
      <w:r w:rsidRPr="00EC43AF">
        <w:rPr>
          <w:b/>
        </w:rPr>
        <w:br/>
      </w:r>
      <w:r>
        <w:br/>
        <w:t>Average response of 3.63 (5 star rating)</w:t>
      </w:r>
      <w:r>
        <w:br/>
      </w:r>
    </w:p>
    <w:p w14:paraId="02E2CC34" w14:textId="77777777" w:rsidR="00EC43AF" w:rsidRDefault="00EC43AF" w:rsidP="00EC43AF">
      <w:pPr>
        <w:pStyle w:val="ListParagraph"/>
        <w:numPr>
          <w:ilvl w:val="0"/>
          <w:numId w:val="11"/>
        </w:numPr>
      </w:pPr>
      <w:r w:rsidRPr="00EC43AF">
        <w:rPr>
          <w:b/>
        </w:rPr>
        <w:t>Now your visit is complete how safe did you feel you visit was?</w:t>
      </w:r>
      <w:r w:rsidRPr="00EC43AF">
        <w:rPr>
          <w:b/>
        </w:rPr>
        <w:br/>
      </w:r>
      <w:r>
        <w:br/>
        <w:t>Average response of 4.48 (5 star rating)</w:t>
      </w:r>
      <w:r>
        <w:br/>
      </w:r>
    </w:p>
    <w:p w14:paraId="51C0A741" w14:textId="77777777" w:rsidR="00EC43AF" w:rsidRDefault="00EC43AF" w:rsidP="00EC43AF">
      <w:pPr>
        <w:pStyle w:val="ListParagraph"/>
        <w:numPr>
          <w:ilvl w:val="0"/>
          <w:numId w:val="11"/>
        </w:numPr>
      </w:pPr>
      <w:r w:rsidRPr="00EC43AF">
        <w:rPr>
          <w:b/>
        </w:rPr>
        <w:t>Is there anything we could do to improve your experience?</w:t>
      </w:r>
      <w:r w:rsidRPr="00EC43AF">
        <w:rPr>
          <w:b/>
        </w:rPr>
        <w:br/>
      </w:r>
      <w:r>
        <w:br/>
        <w:t>There were a total of 16 responses to this question, 11 of which were satisfied that no improvements were needed.</w:t>
      </w:r>
      <w:r>
        <w:br/>
      </w:r>
      <w:r>
        <w:br/>
      </w:r>
      <w:r w:rsidRPr="008C7000">
        <w:rPr>
          <w:b/>
        </w:rPr>
        <w:t>Specific comments:</w:t>
      </w:r>
      <w:r>
        <w:br/>
      </w:r>
      <w:r>
        <w:br/>
        <w:t>“</w:t>
      </w:r>
      <w:r w:rsidRPr="005C374E">
        <w:t>It was all amazing, only thing would be that there is an example table set up for a student right next to the door that people leave by, which means breaking the social distancing 2M to leave the exam room. Maybe take away that one table to remove the risk</w:t>
      </w:r>
      <w:r>
        <w:t>”</w:t>
      </w:r>
    </w:p>
    <w:p w14:paraId="66DD5A93" w14:textId="77777777" w:rsidR="00EC43AF" w:rsidRDefault="00EC43AF" w:rsidP="00EC43AF">
      <w:pPr>
        <w:pStyle w:val="ListParagraph"/>
      </w:pPr>
    </w:p>
    <w:tbl>
      <w:tblPr>
        <w:tblStyle w:val="TableGrid"/>
        <w:tblW w:w="0" w:type="auto"/>
        <w:tblInd w:w="720" w:type="dxa"/>
        <w:tblLook w:val="04A0" w:firstRow="1" w:lastRow="0" w:firstColumn="1" w:lastColumn="0" w:noHBand="0" w:noVBand="1"/>
      </w:tblPr>
      <w:tblGrid>
        <w:gridCol w:w="8296"/>
      </w:tblGrid>
      <w:tr w:rsidR="00EC43AF" w14:paraId="1321104B" w14:textId="77777777" w:rsidTr="00EC43AF">
        <w:tc>
          <w:tcPr>
            <w:tcW w:w="9016" w:type="dxa"/>
          </w:tcPr>
          <w:p w14:paraId="54E8962A" w14:textId="77777777" w:rsidR="00EC43AF" w:rsidRDefault="00EC43AF" w:rsidP="00EC43AF">
            <w:r w:rsidRPr="00EC43AF">
              <w:rPr>
                <w:b/>
              </w:rPr>
              <w:t>College comment:</w:t>
            </w:r>
            <w:r>
              <w:t xml:space="preserve">  We have taken this feedback on board and will ensure there is enough room to leave the exam room and we will remove any potential blockages. </w:t>
            </w:r>
          </w:p>
          <w:p w14:paraId="79D59E26" w14:textId="77777777" w:rsidR="00EC43AF" w:rsidRDefault="00EC43AF" w:rsidP="00EC43AF">
            <w:pPr>
              <w:pStyle w:val="ListParagraph"/>
              <w:ind w:left="0"/>
            </w:pPr>
          </w:p>
        </w:tc>
      </w:tr>
    </w:tbl>
    <w:p w14:paraId="767AC3B7" w14:textId="77777777" w:rsidR="00EC43AF" w:rsidRDefault="00EC43AF" w:rsidP="00EC43AF">
      <w:pPr>
        <w:pStyle w:val="ListParagraph"/>
      </w:pPr>
    </w:p>
    <w:p w14:paraId="5EB345B4" w14:textId="77777777" w:rsidR="00EC43AF" w:rsidRDefault="00EC43AF" w:rsidP="00EC43AF">
      <w:pPr>
        <w:pStyle w:val="ListParagraph"/>
      </w:pPr>
      <w:r>
        <w:br/>
        <w:t>“</w:t>
      </w:r>
      <w:r w:rsidRPr="000E2FCA">
        <w:t xml:space="preserve">The man on the security desk </w:t>
      </w:r>
      <w:r w:rsidR="00FD59B3">
        <w:t>was rude about us using the one-</w:t>
      </w:r>
      <w:r w:rsidRPr="000E2FCA">
        <w:t>way system we had been told to use to go to the toilets</w:t>
      </w:r>
      <w:r>
        <w:t>”</w:t>
      </w:r>
    </w:p>
    <w:p w14:paraId="1E85FEE8" w14:textId="77777777" w:rsidR="00EC43AF" w:rsidRDefault="00EC43AF" w:rsidP="00EC43AF">
      <w:pPr>
        <w:pStyle w:val="ListParagraph"/>
      </w:pPr>
    </w:p>
    <w:tbl>
      <w:tblPr>
        <w:tblStyle w:val="TableGrid"/>
        <w:tblW w:w="0" w:type="auto"/>
        <w:tblInd w:w="720" w:type="dxa"/>
        <w:tblLook w:val="04A0" w:firstRow="1" w:lastRow="0" w:firstColumn="1" w:lastColumn="0" w:noHBand="0" w:noVBand="1"/>
      </w:tblPr>
      <w:tblGrid>
        <w:gridCol w:w="8296"/>
      </w:tblGrid>
      <w:tr w:rsidR="00EC43AF" w14:paraId="7FD950EF" w14:textId="77777777" w:rsidTr="000D107B">
        <w:tc>
          <w:tcPr>
            <w:tcW w:w="9016" w:type="dxa"/>
          </w:tcPr>
          <w:p w14:paraId="1590CF11" w14:textId="77777777" w:rsidR="00EC43AF" w:rsidRDefault="00EC43AF" w:rsidP="000D107B">
            <w:r w:rsidRPr="00EC43AF">
              <w:rPr>
                <w:b/>
              </w:rPr>
              <w:t>College comment:</w:t>
            </w:r>
            <w:r>
              <w:t xml:space="preserve">  We always pride ourselves on being friendly to everyone in college.  We have reminded all staff on site of Ready Respectful and Safe.  This is our way of life at college and doesn’t only apply to students. </w:t>
            </w:r>
          </w:p>
          <w:p w14:paraId="6F648F46" w14:textId="77777777" w:rsidR="00EC43AF" w:rsidRDefault="00EC43AF" w:rsidP="000D107B">
            <w:pPr>
              <w:pStyle w:val="ListParagraph"/>
              <w:ind w:left="0"/>
            </w:pPr>
          </w:p>
        </w:tc>
      </w:tr>
    </w:tbl>
    <w:p w14:paraId="558DCEA3" w14:textId="77777777" w:rsidR="00995B2D" w:rsidRDefault="00EC43AF" w:rsidP="00EC43AF">
      <w:pPr>
        <w:pStyle w:val="ListParagraph"/>
      </w:pPr>
      <w:r>
        <w:br/>
      </w:r>
      <w:r>
        <w:br/>
      </w:r>
      <w:r w:rsidR="00995B2D">
        <w:br w:type="page"/>
      </w:r>
    </w:p>
    <w:p w14:paraId="4F02DF3A" w14:textId="6EBFF7AE" w:rsidR="00EC43AF" w:rsidRDefault="00EC43AF" w:rsidP="00EC43AF">
      <w:pPr>
        <w:pStyle w:val="ListParagraph"/>
      </w:pPr>
      <w:r>
        <w:lastRenderedPageBreak/>
        <w:t>“Supply masks”</w:t>
      </w:r>
    </w:p>
    <w:p w14:paraId="3C3A9E65" w14:textId="77777777" w:rsidR="00EC43AF" w:rsidRDefault="00EC43AF" w:rsidP="00EC43AF">
      <w:pPr>
        <w:pStyle w:val="ListParagraph"/>
      </w:pPr>
    </w:p>
    <w:tbl>
      <w:tblPr>
        <w:tblStyle w:val="TableGrid"/>
        <w:tblW w:w="9016" w:type="dxa"/>
        <w:tblInd w:w="700" w:type="dxa"/>
        <w:tblLook w:val="04A0" w:firstRow="1" w:lastRow="0" w:firstColumn="1" w:lastColumn="0" w:noHBand="0" w:noVBand="1"/>
      </w:tblPr>
      <w:tblGrid>
        <w:gridCol w:w="9016"/>
      </w:tblGrid>
      <w:tr w:rsidR="0060563E" w14:paraId="77CC5B2F" w14:textId="77777777" w:rsidTr="0060563E">
        <w:tc>
          <w:tcPr>
            <w:tcW w:w="9016" w:type="dxa"/>
          </w:tcPr>
          <w:p w14:paraId="0CECFDC4" w14:textId="3C3D29F1" w:rsidR="0060563E" w:rsidRPr="00D360BF" w:rsidRDefault="0060563E" w:rsidP="0060563E">
            <w:pPr>
              <w:rPr>
                <w:rFonts w:ascii="Calibri" w:eastAsia="Times New Roman" w:hAnsi="Calibri" w:cs="Calibri"/>
                <w:bCs/>
                <w:color w:val="000000" w:themeColor="text1"/>
                <w:lang w:eastAsia="en-GB"/>
              </w:rPr>
            </w:pPr>
            <w:r>
              <w:t xml:space="preserve">      </w:t>
            </w:r>
            <w:r w:rsidRPr="00EC43AF">
              <w:rPr>
                <w:b/>
              </w:rPr>
              <w:t>College comment:</w:t>
            </w:r>
            <w:r>
              <w:t xml:space="preserve">  </w:t>
            </w:r>
            <w:r w:rsidRPr="00D360BF">
              <w:rPr>
                <w:rFonts w:ascii="Calibri" w:eastAsia="Times New Roman" w:hAnsi="Calibri" w:cs="Calibri"/>
                <w:bCs/>
                <w:color w:val="000000" w:themeColor="text1"/>
                <w:lang w:eastAsia="en-GB"/>
              </w:rPr>
              <w:t>Government advice is as follows:</w:t>
            </w:r>
          </w:p>
          <w:p w14:paraId="7ACFF5C2" w14:textId="77777777" w:rsidR="0060563E" w:rsidRDefault="0060563E" w:rsidP="0060563E">
            <w:pPr>
              <w:rPr>
                <w:rFonts w:ascii="Calibri" w:eastAsia="Times New Roman" w:hAnsi="Calibri" w:cs="Calibri"/>
                <w:bCs/>
                <w:color w:val="000000" w:themeColor="text1"/>
                <w:lang w:eastAsia="en-GB"/>
              </w:rPr>
            </w:pPr>
            <w:r w:rsidRPr="00D360BF">
              <w:rPr>
                <w:rFonts w:ascii="Calibri" w:eastAsia="Times New Roman" w:hAnsi="Calibri" w:cs="Calibri"/>
                <w:bCs/>
                <w:color w:val="000000" w:themeColor="text1"/>
                <w:lang w:eastAsia="en-GB"/>
              </w:rPr>
              <w:t xml:space="preserve">“Wearing a face covering or face mask in schools or other education settings is not recommended. </w:t>
            </w:r>
          </w:p>
          <w:p w14:paraId="1713FE1A" w14:textId="77777777" w:rsidR="0060563E" w:rsidRDefault="0060563E" w:rsidP="0060563E">
            <w:pPr>
              <w:rPr>
                <w:rFonts w:ascii="Calibri" w:eastAsia="Times New Roman" w:hAnsi="Calibri" w:cs="Calibri"/>
                <w:bCs/>
                <w:color w:val="000000" w:themeColor="text1"/>
                <w:lang w:eastAsia="en-GB"/>
              </w:rPr>
            </w:pPr>
          </w:p>
          <w:p w14:paraId="7507F133" w14:textId="77777777" w:rsidR="0060563E" w:rsidRPr="00D360BF" w:rsidRDefault="0060563E" w:rsidP="0060563E">
            <w:pPr>
              <w:rPr>
                <w:rFonts w:ascii="Calibri" w:eastAsia="Times New Roman" w:hAnsi="Calibri" w:cs="Calibri"/>
                <w:bCs/>
                <w:color w:val="000000" w:themeColor="text1"/>
                <w:lang w:eastAsia="en-GB"/>
              </w:rPr>
            </w:pPr>
            <w:r w:rsidRPr="00D360BF">
              <w:rPr>
                <w:rFonts w:ascii="Calibri" w:eastAsia="Times New Roman" w:hAnsi="Calibri" w:cs="Calibri"/>
                <w:bCs/>
                <w:color w:val="000000" w:themeColor="text1"/>
                <w:lang w:eastAsia="en-GB"/>
              </w:rPr>
              <w:t>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w:t>
            </w:r>
          </w:p>
          <w:p w14:paraId="4CBD35DA" w14:textId="77777777" w:rsidR="0060563E" w:rsidRDefault="0060563E" w:rsidP="0060563E">
            <w:pPr>
              <w:rPr>
                <w:rFonts w:ascii="Calibri" w:eastAsia="Times New Roman" w:hAnsi="Calibri" w:cs="Calibri"/>
                <w:bCs/>
                <w:color w:val="000000" w:themeColor="text1"/>
                <w:lang w:eastAsia="en-GB"/>
              </w:rPr>
            </w:pPr>
          </w:p>
          <w:p w14:paraId="11C7BDA5" w14:textId="77777777" w:rsidR="0060563E" w:rsidRPr="00D360BF" w:rsidRDefault="0060563E" w:rsidP="0060563E">
            <w:pPr>
              <w:rPr>
                <w:rFonts w:ascii="Calibri" w:eastAsia="Times New Roman" w:hAnsi="Calibri" w:cs="Calibri"/>
                <w:bCs/>
                <w:color w:val="000000" w:themeColor="text1"/>
                <w:lang w:eastAsia="en-GB"/>
              </w:rPr>
            </w:pPr>
            <w:r w:rsidRPr="00D360BF">
              <w:rPr>
                <w:rFonts w:ascii="Calibri" w:eastAsia="Times New Roman" w:hAnsi="Calibri" w:cs="Calibri"/>
                <w:bCs/>
                <w:color w:val="000000" w:themeColor="text1"/>
                <w:lang w:eastAsia="en-GB"/>
              </w:rPr>
              <w:t>Whilst we do not require staff or students to wear face coverings, we accept that some people might prefer to continue to wear face coverings at college.  PPE will be provided for those curriculum areas that already use such protection in the delivery of their courses; and for Covid19 related first aid incidents.</w:t>
            </w:r>
          </w:p>
          <w:p w14:paraId="36C3276D" w14:textId="77777777" w:rsidR="0060563E" w:rsidRDefault="0060563E" w:rsidP="0060563E"/>
        </w:tc>
      </w:tr>
    </w:tbl>
    <w:p w14:paraId="75D30B10" w14:textId="77777777" w:rsidR="0060563E" w:rsidRDefault="0060563E" w:rsidP="0060563E"/>
    <w:p w14:paraId="3F1DA1E4" w14:textId="77777777" w:rsidR="0060563E" w:rsidRDefault="00EC43AF" w:rsidP="0060563E">
      <w:pPr>
        <w:ind w:left="720"/>
      </w:pPr>
      <w:r>
        <w:t>“</w:t>
      </w:r>
      <w:r w:rsidRPr="00A5383F">
        <w:t>Exams were scheduled to avoid peak times on trains, however due to the timing of the exam and the train times I ended up having to get a train at peak time anyway and wait in the train station for an hour as I was in town an hour and a quarter before the exam was scheduled, so I had to sit in the train station lounge with other passengers for an hour</w:t>
      </w:r>
      <w:r>
        <w:t>”</w:t>
      </w:r>
      <w:r>
        <w:br/>
      </w:r>
      <w:r>
        <w:br/>
      </w:r>
    </w:p>
    <w:tbl>
      <w:tblPr>
        <w:tblStyle w:val="TableGrid"/>
        <w:tblW w:w="0" w:type="auto"/>
        <w:tblInd w:w="720" w:type="dxa"/>
        <w:tblLook w:val="04A0" w:firstRow="1" w:lastRow="0" w:firstColumn="1" w:lastColumn="0" w:noHBand="0" w:noVBand="1"/>
      </w:tblPr>
      <w:tblGrid>
        <w:gridCol w:w="8296"/>
      </w:tblGrid>
      <w:tr w:rsidR="0060563E" w14:paraId="025AF5A7" w14:textId="77777777" w:rsidTr="0060563E">
        <w:tc>
          <w:tcPr>
            <w:tcW w:w="9016" w:type="dxa"/>
          </w:tcPr>
          <w:p w14:paraId="6ED87DB2" w14:textId="77777777" w:rsidR="0060563E" w:rsidRDefault="0060563E" w:rsidP="0060563E">
            <w:r w:rsidRPr="00EC43AF">
              <w:rPr>
                <w:b/>
              </w:rPr>
              <w:t>College comment:</w:t>
            </w:r>
            <w:r>
              <w:t xml:space="preserve">    Thank you for your feedback – we will take that into account for other exams. </w:t>
            </w:r>
          </w:p>
        </w:tc>
      </w:tr>
    </w:tbl>
    <w:p w14:paraId="768EAF01" w14:textId="77777777" w:rsidR="0060563E" w:rsidRDefault="0060563E" w:rsidP="0060563E">
      <w:pPr>
        <w:ind w:left="720"/>
      </w:pPr>
    </w:p>
    <w:p w14:paraId="5D1BE2B7" w14:textId="77777777" w:rsidR="00EC43AF" w:rsidRDefault="00EC43AF" w:rsidP="0060563E">
      <w:pPr>
        <w:ind w:left="720"/>
      </w:pPr>
      <w:r>
        <w:t>“</w:t>
      </w:r>
      <w:r w:rsidRPr="001F03A9">
        <w:t>Open Costa or the Cafe (takeaway only)</w:t>
      </w:r>
      <w:r>
        <w:t>”</w:t>
      </w:r>
    </w:p>
    <w:p w14:paraId="11D562A5" w14:textId="77777777" w:rsidR="00FD59B3" w:rsidRDefault="00FD59B3" w:rsidP="0060563E">
      <w:pPr>
        <w:ind w:left="720"/>
      </w:pPr>
    </w:p>
    <w:tbl>
      <w:tblPr>
        <w:tblStyle w:val="TableGrid"/>
        <w:tblW w:w="0" w:type="auto"/>
        <w:tblInd w:w="720" w:type="dxa"/>
        <w:tblLook w:val="04A0" w:firstRow="1" w:lastRow="0" w:firstColumn="1" w:lastColumn="0" w:noHBand="0" w:noVBand="1"/>
      </w:tblPr>
      <w:tblGrid>
        <w:gridCol w:w="8296"/>
      </w:tblGrid>
      <w:tr w:rsidR="0060563E" w14:paraId="302E89DE" w14:textId="77777777" w:rsidTr="000D107B">
        <w:tc>
          <w:tcPr>
            <w:tcW w:w="9016" w:type="dxa"/>
          </w:tcPr>
          <w:p w14:paraId="42361774" w14:textId="06CBCBA6" w:rsidR="0060563E" w:rsidRDefault="0060563E" w:rsidP="000D107B">
            <w:r w:rsidRPr="00EC43AF">
              <w:rPr>
                <w:b/>
              </w:rPr>
              <w:t>College comment:</w:t>
            </w:r>
            <w:r>
              <w:t xml:space="preserve">    We are missing our daily costa/</w:t>
            </w:r>
            <w:r w:rsidR="00FD59B3">
              <w:t>Starbucks</w:t>
            </w:r>
            <w:r>
              <w:t xml:space="preserve"> fix too</w:t>
            </w:r>
            <w:r w:rsidR="00FD59B3">
              <w:t xml:space="preserve">. </w:t>
            </w:r>
            <w:r w:rsidR="00BD1FB4">
              <w:t xml:space="preserve">For now, </w:t>
            </w:r>
            <w:r>
              <w:t xml:space="preserve">it is bring your own refreshments but when we do a wider opening in the Autumn </w:t>
            </w:r>
            <w:r w:rsidR="00FD59B3">
              <w:t>the canteens will reopen in the Autumn term</w:t>
            </w:r>
          </w:p>
        </w:tc>
      </w:tr>
    </w:tbl>
    <w:p w14:paraId="046BE37E" w14:textId="77777777" w:rsidR="0060563E" w:rsidRDefault="0060563E" w:rsidP="0060563E">
      <w:pPr>
        <w:ind w:left="720"/>
      </w:pPr>
      <w:bookmarkStart w:id="0" w:name="_GoBack"/>
      <w:bookmarkEnd w:id="0"/>
    </w:p>
    <w:p w14:paraId="3A030415" w14:textId="77777777" w:rsidR="008B2FCA" w:rsidRDefault="008B2FCA" w:rsidP="008B2FCA">
      <w:pPr>
        <w:rPr>
          <w:rFonts w:ascii="Calibri" w:eastAsia="Times New Roman" w:hAnsi="Calibri" w:cs="Calibri"/>
          <w:b/>
          <w:bCs/>
          <w:color w:val="FF0000"/>
          <w:sz w:val="24"/>
          <w:szCs w:val="24"/>
          <w:lang w:eastAsia="en-GB"/>
        </w:rPr>
      </w:pPr>
    </w:p>
    <w:p w14:paraId="20C07305" w14:textId="77777777" w:rsidR="008B2FCA" w:rsidRPr="00E71C39" w:rsidRDefault="008B2FCA" w:rsidP="008B2FCA">
      <w:pPr>
        <w:rPr>
          <w:b/>
          <w:color w:val="000000" w:themeColor="text1"/>
        </w:rPr>
      </w:pPr>
      <w:r w:rsidRPr="00956762">
        <w:rPr>
          <w:b/>
          <w:color w:val="000000" w:themeColor="text1"/>
        </w:rPr>
        <w:t>Next steps:</w:t>
      </w:r>
    </w:p>
    <w:p w14:paraId="1209550B" w14:textId="77777777" w:rsidR="008B2FCA" w:rsidRPr="00956762" w:rsidRDefault="0060563E" w:rsidP="008B2FCA">
      <w:pPr>
        <w:rPr>
          <w:color w:val="000000" w:themeColor="text1"/>
        </w:rPr>
      </w:pPr>
      <w:r>
        <w:rPr>
          <w:color w:val="000000" w:themeColor="text1"/>
        </w:rPr>
        <w:t xml:space="preserve">The survey results have </w:t>
      </w:r>
      <w:r w:rsidR="00FD59B3">
        <w:rPr>
          <w:color w:val="000000" w:themeColor="text1"/>
        </w:rPr>
        <w:t>been</w:t>
      </w:r>
      <w:r w:rsidR="008B2FCA">
        <w:rPr>
          <w:color w:val="000000" w:themeColor="text1"/>
        </w:rPr>
        <w:t xml:space="preserve"> shared with the local implement groups for</w:t>
      </w:r>
      <w:r w:rsidR="00FD59B3">
        <w:rPr>
          <w:color w:val="000000" w:themeColor="text1"/>
        </w:rPr>
        <w:t xml:space="preserve"> further</w:t>
      </w:r>
      <w:r w:rsidR="008B2FCA">
        <w:rPr>
          <w:color w:val="000000" w:themeColor="text1"/>
        </w:rPr>
        <w:t xml:space="preserve"> consideration.     </w:t>
      </w:r>
    </w:p>
    <w:p w14:paraId="0B1052C1" w14:textId="77777777" w:rsidR="008B2FCA" w:rsidRDefault="008B2FCA" w:rsidP="008B2FCA"/>
    <w:p w14:paraId="0C435BBB" w14:textId="77777777" w:rsidR="009457CE" w:rsidRDefault="009457CE"/>
    <w:sectPr w:rsidR="009457C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EC33" w14:textId="77777777" w:rsidR="00490F43" w:rsidRDefault="00490F43">
      <w:pPr>
        <w:spacing w:after="0" w:line="240" w:lineRule="auto"/>
      </w:pPr>
      <w:r>
        <w:separator/>
      </w:r>
    </w:p>
  </w:endnote>
  <w:endnote w:type="continuationSeparator" w:id="0">
    <w:p w14:paraId="2FAA0C8F" w14:textId="77777777" w:rsidR="00490F43" w:rsidRDefault="0049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943166"/>
      <w:docPartObj>
        <w:docPartGallery w:val="Page Numbers (Bottom of Page)"/>
        <w:docPartUnique/>
      </w:docPartObj>
    </w:sdtPr>
    <w:sdtEndPr>
      <w:rPr>
        <w:noProof/>
      </w:rPr>
    </w:sdtEndPr>
    <w:sdtContent>
      <w:p w14:paraId="1D306115" w14:textId="77777777" w:rsidR="008F14C3" w:rsidRDefault="00FD59B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409277C" w14:textId="77777777" w:rsidR="008F14C3" w:rsidRDefault="00BD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9CD7" w14:textId="77777777" w:rsidR="00490F43" w:rsidRDefault="00490F43">
      <w:pPr>
        <w:spacing w:after="0" w:line="240" w:lineRule="auto"/>
      </w:pPr>
      <w:r>
        <w:separator/>
      </w:r>
    </w:p>
  </w:footnote>
  <w:footnote w:type="continuationSeparator" w:id="0">
    <w:p w14:paraId="524FA078" w14:textId="77777777" w:rsidR="00490F43" w:rsidRDefault="00490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774"/>
    <w:multiLevelType w:val="hybridMultilevel"/>
    <w:tmpl w:val="6C4AC5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B7CDD"/>
    <w:multiLevelType w:val="hybridMultilevel"/>
    <w:tmpl w:val="3998F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137A3"/>
    <w:multiLevelType w:val="hybridMultilevel"/>
    <w:tmpl w:val="3CC271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1267C"/>
    <w:multiLevelType w:val="hybridMultilevel"/>
    <w:tmpl w:val="5AA26D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1CC6"/>
    <w:multiLevelType w:val="hybridMultilevel"/>
    <w:tmpl w:val="20445C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540E9"/>
    <w:multiLevelType w:val="hybridMultilevel"/>
    <w:tmpl w:val="F5BCF6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30860"/>
    <w:multiLevelType w:val="hybridMultilevel"/>
    <w:tmpl w:val="161218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F2940"/>
    <w:multiLevelType w:val="hybridMultilevel"/>
    <w:tmpl w:val="4F389F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0A4A42"/>
    <w:multiLevelType w:val="hybridMultilevel"/>
    <w:tmpl w:val="26AC08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D570F"/>
    <w:multiLevelType w:val="hybridMultilevel"/>
    <w:tmpl w:val="55B69C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77E9E"/>
    <w:multiLevelType w:val="hybridMultilevel"/>
    <w:tmpl w:val="9FCE35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2"/>
  </w:num>
  <w:num w:numId="6">
    <w:abstractNumId w:val="0"/>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CA"/>
    <w:rsid w:val="0024332E"/>
    <w:rsid w:val="00490F43"/>
    <w:rsid w:val="0060563E"/>
    <w:rsid w:val="008B2FCA"/>
    <w:rsid w:val="008F00CA"/>
    <w:rsid w:val="009457CE"/>
    <w:rsid w:val="00995B2D"/>
    <w:rsid w:val="00BD1FB4"/>
    <w:rsid w:val="00EC43AF"/>
    <w:rsid w:val="00FD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6559"/>
  <w15:chartTrackingRefBased/>
  <w15:docId w15:val="{1375D80E-60FD-4988-B5B6-7B996685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CA"/>
    <w:pPr>
      <w:ind w:left="720"/>
      <w:contextualSpacing/>
    </w:pPr>
  </w:style>
  <w:style w:type="character" w:styleId="Hyperlink">
    <w:name w:val="Hyperlink"/>
    <w:basedOn w:val="DefaultParagraphFont"/>
    <w:uiPriority w:val="99"/>
    <w:unhideWhenUsed/>
    <w:rsid w:val="008B2FCA"/>
    <w:rPr>
      <w:color w:val="0563C1" w:themeColor="hyperlink"/>
      <w:u w:val="single"/>
    </w:rPr>
  </w:style>
  <w:style w:type="paragraph" w:styleId="Footer">
    <w:name w:val="footer"/>
    <w:basedOn w:val="Normal"/>
    <w:link w:val="FooterChar"/>
    <w:uiPriority w:val="99"/>
    <w:unhideWhenUsed/>
    <w:rsid w:val="008B2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FCA"/>
  </w:style>
  <w:style w:type="table" w:styleId="TableGrid">
    <w:name w:val="Table Grid"/>
    <w:basedOn w:val="TableNormal"/>
    <w:uiPriority w:val="39"/>
    <w:rsid w:val="008B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433211821C54D8FB0F58A5E3895CD" ma:contentTypeVersion="13" ma:contentTypeDescription="Create a new document." ma:contentTypeScope="" ma:versionID="f6f8be3293f2a19696df3c508246a467">
  <xsd:schema xmlns:xsd="http://www.w3.org/2001/XMLSchema" xmlns:xs="http://www.w3.org/2001/XMLSchema" xmlns:p="http://schemas.microsoft.com/office/2006/metadata/properties" xmlns:ns3="8c53e565-4cc1-463d-97fb-e490bf8602b4" xmlns:ns4="b0fc0324-465e-4075-ace3-22794bb09f40" targetNamespace="http://schemas.microsoft.com/office/2006/metadata/properties" ma:root="true" ma:fieldsID="0979f18b638febe47d403143009d6548" ns3:_="" ns4:_="">
    <xsd:import namespace="8c53e565-4cc1-463d-97fb-e490bf8602b4"/>
    <xsd:import namespace="b0fc0324-465e-4075-ace3-22794bb09f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3e565-4cc1-463d-97fb-e490bf8602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c0324-465e-4075-ace3-22794bb09f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DCBB5-688B-4C7B-8534-C99B0F91D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3e565-4cc1-463d-97fb-e490bf8602b4"/>
    <ds:schemaRef ds:uri="b0fc0324-465e-4075-ace3-22794bb09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7855E-3DA2-4B80-9731-574BAEBB67DA}">
  <ds:schemaRefs>
    <ds:schemaRef ds:uri="http://schemas.microsoft.com/sharepoint/v3/contenttype/forms"/>
  </ds:schemaRefs>
</ds:datastoreItem>
</file>

<file path=customXml/itemProps3.xml><?xml version="1.0" encoding="utf-8"?>
<ds:datastoreItem xmlns:ds="http://schemas.openxmlformats.org/officeDocument/2006/customXml" ds:itemID="{7D25EA05-5639-4C82-B264-D4CEA66E1A36}">
  <ds:schemaRefs>
    <ds:schemaRef ds:uri="http://schemas.microsoft.com/office/infopath/2007/PartnerControls"/>
    <ds:schemaRef ds:uri="8c53e565-4cc1-463d-97fb-e490bf8602b4"/>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0fc0324-465e-4075-ace3-22794bb09f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Lee</dc:creator>
  <cp:keywords/>
  <dc:description/>
  <cp:lastModifiedBy>Zoe Lee</cp:lastModifiedBy>
  <cp:revision>3</cp:revision>
  <dcterms:created xsi:type="dcterms:W3CDTF">2020-07-03T08:23:00Z</dcterms:created>
  <dcterms:modified xsi:type="dcterms:W3CDTF">2020-07-03T08:23:00Z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0x010100283433211821C54D8FB0F58A5E3895CD</vt:lpwstr>
  </property>
</Properties>
</file>